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9EA7A" w14:textId="48BF98C5" w:rsidR="00037A88" w:rsidRPr="008D3EC7" w:rsidRDefault="006E3E0F" w:rsidP="008D3EC7">
      <w:pPr>
        <w:pStyle w:val="H1"/>
        <w:numPr>
          <w:ilvl w:val="0"/>
          <w:numId w:val="0"/>
        </w:numPr>
        <w:spacing w:before="0"/>
        <w:jc w:val="left"/>
        <w:rPr>
          <w:sz w:val="22"/>
          <w:szCs w:val="22"/>
        </w:rPr>
      </w:pPr>
      <w:bookmarkStart w:id="0" w:name="_Toc48896037"/>
      <w:r w:rsidRPr="009B5A0E">
        <w:t>Executive Summary</w:t>
      </w:r>
      <w:bookmarkEnd w:id="0"/>
    </w:p>
    <w:p w14:paraId="24E05B7C" w14:textId="1AB015D9" w:rsidR="00364616" w:rsidRDefault="003A69B4" w:rsidP="00037A88">
      <w:pPr>
        <w:jc w:val="both"/>
        <w:rPr>
          <w:rFonts w:ascii="Helvetica" w:eastAsiaTheme="minorHAnsi" w:hAnsi="Helvetica"/>
          <w:sz w:val="22"/>
          <w:szCs w:val="22"/>
          <w:lang w:val="en-US"/>
        </w:rPr>
      </w:pPr>
      <w:r>
        <w:rPr>
          <w:rFonts w:ascii="Helvetica" w:hAnsi="Helvetica"/>
          <w:sz w:val="22"/>
          <w:szCs w:val="22"/>
        </w:rPr>
        <w:t xml:space="preserve">The </w:t>
      </w:r>
      <w:r w:rsidR="00364616">
        <w:rPr>
          <w:rFonts w:ascii="Helvetica" w:hAnsi="Helvetica"/>
          <w:sz w:val="22"/>
          <w:szCs w:val="22"/>
        </w:rPr>
        <w:t xml:space="preserve">“Strengthening </w:t>
      </w:r>
      <w:r w:rsidRPr="003A69B4">
        <w:rPr>
          <w:rFonts w:ascii="Helvetica" w:hAnsi="Helvetica"/>
          <w:sz w:val="22"/>
          <w:szCs w:val="22"/>
        </w:rPr>
        <w:t>Voice and Accountability</w:t>
      </w:r>
      <w:r w:rsidR="00364616">
        <w:rPr>
          <w:rFonts w:ascii="Helvetica" w:hAnsi="Helvetica"/>
          <w:sz w:val="22"/>
          <w:szCs w:val="22"/>
        </w:rPr>
        <w:t>”</w:t>
      </w:r>
      <w:r w:rsidRPr="003A69B4">
        <w:rPr>
          <w:rFonts w:ascii="Helvetica" w:hAnsi="Helvetica"/>
          <w:sz w:val="22"/>
          <w:szCs w:val="22"/>
        </w:rPr>
        <w:t xml:space="preserve"> Project (VAP)</w:t>
      </w:r>
      <w:r>
        <w:rPr>
          <w:rFonts w:ascii="Helvetica" w:hAnsi="Helvetica"/>
          <w:sz w:val="22"/>
          <w:szCs w:val="22"/>
        </w:rPr>
        <w:t xml:space="preserve"> </w:t>
      </w:r>
      <w:r w:rsidR="00364616">
        <w:rPr>
          <w:rFonts w:ascii="Helvetica" w:hAnsi="Helvetica"/>
          <w:sz w:val="22"/>
          <w:szCs w:val="22"/>
        </w:rPr>
        <w:t xml:space="preserve">is a multi-phase intervention in the Kyrgyz Republic supporting citizen participation in local budgetary process and local self-government (LSG) responsiveness to civic initiatives. As its overall goal VAP seeks to ensure that </w:t>
      </w:r>
      <w:r w:rsidR="008B2EFA" w:rsidRPr="00B37A62">
        <w:rPr>
          <w:rFonts w:ascii="Helvetica" w:eastAsiaTheme="minorHAnsi" w:hAnsi="Helvetica"/>
          <w:b/>
          <w:sz w:val="22"/>
          <w:szCs w:val="22"/>
          <w:lang w:val="en-US"/>
        </w:rPr>
        <w:t>public</w:t>
      </w:r>
      <w:r w:rsidR="00364616" w:rsidRPr="00B37A62">
        <w:rPr>
          <w:rFonts w:ascii="Helvetica" w:eastAsiaTheme="minorHAnsi" w:hAnsi="Helvetica"/>
          <w:b/>
          <w:sz w:val="22"/>
          <w:szCs w:val="22"/>
          <w:lang w:val="en-US"/>
        </w:rPr>
        <w:t xml:space="preserve"> finances are managed by LSGs in a more transparent and accountable mode through ci</w:t>
      </w:r>
      <w:r w:rsidR="008B2EFA">
        <w:rPr>
          <w:rFonts w:ascii="Helvetica" w:eastAsiaTheme="minorHAnsi" w:hAnsi="Helvetica"/>
          <w:b/>
          <w:sz w:val="22"/>
          <w:szCs w:val="22"/>
          <w:lang w:val="en-US"/>
        </w:rPr>
        <w:t>tizen participation in decision-</w:t>
      </w:r>
      <w:r w:rsidR="00364616" w:rsidRPr="00B37A62">
        <w:rPr>
          <w:rFonts w:ascii="Helvetica" w:eastAsiaTheme="minorHAnsi" w:hAnsi="Helvetica"/>
          <w:b/>
          <w:sz w:val="22"/>
          <w:szCs w:val="22"/>
          <w:lang w:val="en-US"/>
        </w:rPr>
        <w:t>making process</w:t>
      </w:r>
      <w:r w:rsidR="00364616">
        <w:rPr>
          <w:rFonts w:ascii="Helvetica" w:eastAsiaTheme="minorHAnsi" w:hAnsi="Helvetica"/>
          <w:sz w:val="22"/>
          <w:szCs w:val="22"/>
          <w:lang w:val="en-US"/>
        </w:rPr>
        <w:t>.</w:t>
      </w:r>
    </w:p>
    <w:p w14:paraId="593F1270" w14:textId="63B33F1B" w:rsidR="00364616" w:rsidRDefault="00364616" w:rsidP="00037A88">
      <w:pPr>
        <w:jc w:val="both"/>
        <w:rPr>
          <w:rFonts w:ascii="Helvetica" w:eastAsiaTheme="minorHAnsi" w:hAnsi="Helvetica"/>
          <w:sz w:val="22"/>
          <w:szCs w:val="22"/>
          <w:lang w:val="en-US"/>
        </w:rPr>
      </w:pPr>
    </w:p>
    <w:p w14:paraId="4558D3BF" w14:textId="4714FE22" w:rsidR="00364616" w:rsidRPr="008B2EFA" w:rsidRDefault="00364616" w:rsidP="00364616">
      <w:pPr>
        <w:jc w:val="both"/>
        <w:rPr>
          <w:rFonts w:ascii="Helvetica" w:eastAsiaTheme="minorHAnsi" w:hAnsi="Helvetica"/>
          <w:sz w:val="22"/>
          <w:szCs w:val="22"/>
          <w:lang w:val="en-US"/>
        </w:rPr>
      </w:pPr>
      <w:r>
        <w:rPr>
          <w:rFonts w:ascii="Helvetica" w:hAnsi="Helvetica"/>
          <w:sz w:val="22"/>
          <w:szCs w:val="22"/>
        </w:rPr>
        <w:t>The Project was delivered in three distinct stages - 2011-2012 (inception phase), 201</w:t>
      </w:r>
      <w:r w:rsidR="008B2EFA">
        <w:rPr>
          <w:rFonts w:ascii="Helvetica" w:hAnsi="Helvetica"/>
          <w:sz w:val="22"/>
          <w:szCs w:val="22"/>
        </w:rPr>
        <w:t>2-2015 (phase I) and 2015-2020</w:t>
      </w:r>
      <w:r>
        <w:rPr>
          <w:rFonts w:ascii="Helvetica" w:hAnsi="Helvetica"/>
          <w:sz w:val="22"/>
          <w:szCs w:val="22"/>
        </w:rPr>
        <w:t xml:space="preserve"> (phase II, with extension). This Project Document elaborates the </w:t>
      </w:r>
      <w:r w:rsidR="00B66E57">
        <w:rPr>
          <w:rFonts w:ascii="Helvetica" w:hAnsi="Helvetica"/>
          <w:sz w:val="22"/>
          <w:szCs w:val="22"/>
        </w:rPr>
        <w:t xml:space="preserve">proposed Exit Phase activities for the period from </w:t>
      </w:r>
      <w:r w:rsidR="00B66E57" w:rsidRPr="008B2EFA">
        <w:rPr>
          <w:rFonts w:ascii="Helvetica" w:hAnsi="Helvetica"/>
          <w:sz w:val="22"/>
          <w:szCs w:val="22"/>
        </w:rPr>
        <w:t>September 15, 202</w:t>
      </w:r>
      <w:r w:rsidR="008D3EC7" w:rsidRPr="008B2EFA">
        <w:rPr>
          <w:rFonts w:ascii="Helvetica" w:hAnsi="Helvetica"/>
          <w:sz w:val="22"/>
          <w:szCs w:val="22"/>
        </w:rPr>
        <w:t>0</w:t>
      </w:r>
      <w:r w:rsidR="00B66E57" w:rsidRPr="008B2EFA">
        <w:rPr>
          <w:rFonts w:ascii="Helvetica" w:hAnsi="Helvetica"/>
          <w:sz w:val="22"/>
          <w:szCs w:val="22"/>
        </w:rPr>
        <w:t xml:space="preserve"> to March 15, 2022, with</w:t>
      </w:r>
      <w:r w:rsidRPr="008B2EFA">
        <w:rPr>
          <w:rFonts w:ascii="Helvetica" w:hAnsi="Helvetica"/>
          <w:sz w:val="22"/>
          <w:szCs w:val="22"/>
        </w:rPr>
        <w:t xml:space="preserve"> </w:t>
      </w:r>
      <w:r w:rsidRPr="008B2EFA">
        <w:rPr>
          <w:rFonts w:ascii="Helvetica" w:eastAsiaTheme="minorHAnsi" w:hAnsi="Helvetica"/>
          <w:sz w:val="22"/>
          <w:szCs w:val="22"/>
          <w:lang w:val="en-US"/>
        </w:rPr>
        <w:t xml:space="preserve">intended outcomes </w:t>
      </w:r>
      <w:r w:rsidR="00B66E57" w:rsidRPr="008B2EFA">
        <w:rPr>
          <w:rFonts w:ascii="Helvetica" w:eastAsiaTheme="minorHAnsi" w:hAnsi="Helvetica"/>
          <w:sz w:val="22"/>
          <w:szCs w:val="22"/>
          <w:lang w:val="en-US"/>
        </w:rPr>
        <w:t>aimed</w:t>
      </w:r>
      <w:r w:rsidRPr="008B2EFA">
        <w:rPr>
          <w:rFonts w:ascii="Helvetica" w:eastAsiaTheme="minorHAnsi" w:hAnsi="Helvetica"/>
          <w:sz w:val="22"/>
          <w:szCs w:val="22"/>
          <w:lang w:val="en-US"/>
        </w:rPr>
        <w:t xml:space="preserve"> at</w:t>
      </w:r>
      <w:r w:rsidR="00942422" w:rsidRPr="008B2EFA">
        <w:rPr>
          <w:rFonts w:ascii="Helvetica" w:eastAsiaTheme="minorHAnsi" w:hAnsi="Helvetica"/>
          <w:sz w:val="22"/>
          <w:szCs w:val="22"/>
          <w:lang w:val="en-US"/>
        </w:rPr>
        <w:t xml:space="preserve"> strengthening long-term</w:t>
      </w:r>
      <w:r w:rsidR="008D3EC7" w:rsidRPr="008B2EFA">
        <w:rPr>
          <w:rFonts w:ascii="Helvetica" w:eastAsiaTheme="minorHAnsi" w:hAnsi="Helvetica"/>
          <w:sz w:val="22"/>
          <w:szCs w:val="22"/>
        </w:rPr>
        <w:t xml:space="preserve"> foundations of</w:t>
      </w:r>
      <w:r w:rsidR="00942422" w:rsidRPr="008B2EFA">
        <w:rPr>
          <w:rFonts w:ascii="Helvetica" w:eastAsiaTheme="minorHAnsi" w:hAnsi="Helvetica"/>
          <w:sz w:val="22"/>
          <w:szCs w:val="22"/>
          <w:lang w:val="en-US"/>
        </w:rPr>
        <w:t xml:space="preserve"> sustainability and scale.</w:t>
      </w:r>
    </w:p>
    <w:p w14:paraId="1551C2C2" w14:textId="38558F0B" w:rsidR="00364616" w:rsidRPr="003A69B4" w:rsidRDefault="00364616" w:rsidP="00364616">
      <w:pPr>
        <w:jc w:val="both"/>
        <w:rPr>
          <w:rFonts w:ascii="Helvetica" w:hAnsi="Helvetica"/>
          <w:sz w:val="22"/>
          <w:szCs w:val="22"/>
        </w:rPr>
      </w:pPr>
    </w:p>
    <w:p w14:paraId="2D8BB9DD" w14:textId="16F10CA5" w:rsidR="00125AA0" w:rsidRPr="00125AA0" w:rsidRDefault="00125AA0" w:rsidP="00125AA0">
      <w:pPr>
        <w:jc w:val="both"/>
        <w:rPr>
          <w:rFonts w:ascii="Helvetica" w:hAnsi="Helvetica"/>
          <w:b/>
          <w:bCs/>
          <w:sz w:val="22"/>
          <w:szCs w:val="22"/>
          <w:lang w:val="en"/>
        </w:rPr>
      </w:pPr>
      <w:r w:rsidRPr="00125AA0">
        <w:rPr>
          <w:rFonts w:ascii="Helvetica" w:hAnsi="Helvetica"/>
          <w:b/>
          <w:bCs/>
          <w:sz w:val="22"/>
          <w:szCs w:val="22"/>
          <w:lang w:val="en"/>
        </w:rPr>
        <w:t xml:space="preserve">Implementation </w:t>
      </w:r>
      <w:r>
        <w:rPr>
          <w:rFonts w:ascii="Helvetica" w:hAnsi="Helvetica"/>
          <w:b/>
          <w:bCs/>
          <w:sz w:val="22"/>
          <w:szCs w:val="22"/>
          <w:lang w:val="en"/>
        </w:rPr>
        <w:t>approach</w:t>
      </w:r>
      <w:r w:rsidRPr="00125AA0">
        <w:rPr>
          <w:rFonts w:ascii="Helvetica" w:hAnsi="Helvetica"/>
          <w:b/>
          <w:bCs/>
          <w:sz w:val="22"/>
          <w:szCs w:val="22"/>
          <w:lang w:val="en"/>
        </w:rPr>
        <w:t>:</w:t>
      </w:r>
    </w:p>
    <w:p w14:paraId="75B12E15" w14:textId="1473807F" w:rsidR="000C4623" w:rsidRPr="00125AA0" w:rsidRDefault="00125AA0" w:rsidP="00125AA0">
      <w:pPr>
        <w:jc w:val="both"/>
        <w:rPr>
          <w:rFonts w:ascii="Helvetica" w:eastAsiaTheme="minorHAnsi" w:hAnsi="Helvetica"/>
          <w:sz w:val="22"/>
          <w:szCs w:val="22"/>
          <w:lang w:val="en-US"/>
        </w:rPr>
      </w:pPr>
      <w:r w:rsidRPr="009B5A0E">
        <w:rPr>
          <w:rFonts w:ascii="Helvetica" w:eastAsiaTheme="minorHAnsi" w:hAnsi="Helvetica"/>
          <w:sz w:val="22"/>
          <w:szCs w:val="22"/>
          <w:lang w:val="en-US"/>
        </w:rPr>
        <w:t>The implementing strategy for this final phase deprioritizes programmatic activity in the “field”, or direct engagement of LSGs, in favor of effecting changes through institutional intermediaries, in a way that is highly targeted at enabling long-term continuity after the end of project.</w:t>
      </w:r>
      <w:r w:rsidRPr="00125AA0">
        <w:rPr>
          <w:rFonts w:ascii="Helvetica" w:hAnsi="Helvetica"/>
          <w:color w:val="000000"/>
          <w:sz w:val="22"/>
          <w:szCs w:val="22"/>
        </w:rPr>
        <w:t xml:space="preserve"> </w:t>
      </w:r>
      <w:r>
        <w:rPr>
          <w:rFonts w:ascii="Helvetica" w:hAnsi="Helvetica"/>
          <w:color w:val="000000"/>
          <w:sz w:val="22"/>
          <w:szCs w:val="22"/>
        </w:rPr>
        <w:t>T</w:t>
      </w:r>
      <w:r w:rsidRPr="009B5A0E">
        <w:rPr>
          <w:rFonts w:ascii="Helvetica" w:hAnsi="Helvetica"/>
          <w:color w:val="000000"/>
          <w:sz w:val="22"/>
          <w:szCs w:val="22"/>
        </w:rPr>
        <w:t xml:space="preserve">he main intention of VAP is to provide a lasting contribution towards long-run sustainability and nationwide reach and replication of participatory budgetary process. This will be accomplished while ensuring strong continuity and coherence with the previous phases and building on the achieved results and lessons learned to date. </w:t>
      </w:r>
      <w:r w:rsidRPr="009B5A0E">
        <w:rPr>
          <w:rFonts w:ascii="Helvetica" w:eastAsiaTheme="minorHAnsi" w:hAnsi="Helvetica"/>
          <w:sz w:val="22"/>
          <w:szCs w:val="22"/>
          <w:lang w:val="en-US"/>
        </w:rPr>
        <w:t xml:space="preserve">The main level of operation will be at the macro (work with national-level partners) and </w:t>
      </w:r>
      <w:proofErr w:type="spellStart"/>
      <w:r w:rsidRPr="009B5A0E">
        <w:rPr>
          <w:rFonts w:ascii="Helvetica" w:eastAsiaTheme="minorHAnsi" w:hAnsi="Helvetica"/>
          <w:sz w:val="22"/>
          <w:szCs w:val="22"/>
          <w:lang w:val="en-US"/>
        </w:rPr>
        <w:t>meso</w:t>
      </w:r>
      <w:proofErr w:type="spellEnd"/>
      <w:r w:rsidRPr="009B5A0E">
        <w:rPr>
          <w:rFonts w:ascii="Helvetica" w:eastAsiaTheme="minorHAnsi" w:hAnsi="Helvetica"/>
          <w:sz w:val="22"/>
          <w:szCs w:val="22"/>
          <w:lang w:val="en-US"/>
        </w:rPr>
        <w:t xml:space="preserve"> (work with regional universities, regional units of central bodies), with limited micro, or LSG-level activities. </w:t>
      </w:r>
      <w:r w:rsidRPr="009B5A0E">
        <w:rPr>
          <w:rFonts w:ascii="Helvetica" w:eastAsiaTheme="minorHAnsi" w:hAnsi="Helvetica"/>
          <w:sz w:val="22"/>
          <w:szCs w:val="22"/>
        </w:rPr>
        <w:t>There</w:t>
      </w:r>
      <w:r w:rsidRPr="009B5A0E">
        <w:rPr>
          <w:rFonts w:ascii="Helvetica" w:eastAsiaTheme="minorHAnsi" w:hAnsi="Helvetica"/>
          <w:sz w:val="22"/>
          <w:szCs w:val="22"/>
          <w:lang w:val="en-US"/>
        </w:rPr>
        <w:t xml:space="preserve"> is no specific geographic targeting, unless suggested by the patterns of where the LSGs are showing most “resistance” to participatory budgeting due to a variety of factors. </w:t>
      </w:r>
    </w:p>
    <w:p w14:paraId="54E6CB82" w14:textId="7D63F581" w:rsidR="00963A5F" w:rsidRPr="00963A5F" w:rsidRDefault="00963A5F">
      <w:pPr>
        <w:rPr>
          <w:rFonts w:ascii="Helvetica" w:hAnsi="Helvetica"/>
          <w:sz w:val="22"/>
          <w:szCs w:val="22"/>
          <w:lang w:val="en-US"/>
        </w:rPr>
      </w:pPr>
    </w:p>
    <w:p w14:paraId="7E7558D5" w14:textId="77777777" w:rsidR="00AF6EF7" w:rsidRPr="009B5A0E" w:rsidRDefault="00103507" w:rsidP="00971B59">
      <w:pPr>
        <w:pStyle w:val="H1"/>
        <w:tabs>
          <w:tab w:val="clear" w:pos="2847"/>
        </w:tabs>
        <w:ind w:left="567" w:hanging="567"/>
      </w:pPr>
      <w:bookmarkStart w:id="1" w:name="_Toc48896044"/>
      <w:r w:rsidRPr="009B5A0E">
        <w:t>Results and lessons learned</w:t>
      </w:r>
      <w:bookmarkEnd w:id="1"/>
    </w:p>
    <w:p w14:paraId="3751CDBB" w14:textId="77777777" w:rsidR="00915F0E" w:rsidRPr="00942422" w:rsidRDefault="00915F0E" w:rsidP="00915F0E">
      <w:pPr>
        <w:jc w:val="both"/>
        <w:rPr>
          <w:rFonts w:ascii="Helvetica" w:hAnsi="Helvetica"/>
          <w:b/>
          <w:bCs/>
          <w:sz w:val="22"/>
          <w:szCs w:val="22"/>
        </w:rPr>
      </w:pPr>
      <w:bookmarkStart w:id="2" w:name="_Toc48896048"/>
      <w:r w:rsidRPr="00942422">
        <w:rPr>
          <w:rFonts w:ascii="Helvetica" w:hAnsi="Helvetica"/>
          <w:b/>
          <w:bCs/>
          <w:sz w:val="22"/>
          <w:szCs w:val="22"/>
        </w:rPr>
        <w:t>Exit Phase planned results:</w:t>
      </w:r>
    </w:p>
    <w:p w14:paraId="584E3EFF" w14:textId="77777777" w:rsidR="00915F0E" w:rsidRDefault="00915F0E" w:rsidP="00915F0E">
      <w:pPr>
        <w:jc w:val="both"/>
        <w:rPr>
          <w:rFonts w:ascii="Helvetica" w:eastAsiaTheme="minorHAnsi" w:hAnsi="Helvetica"/>
          <w:sz w:val="22"/>
          <w:szCs w:val="22"/>
          <w:lang w:val="en-US"/>
        </w:rPr>
      </w:pPr>
      <w:r>
        <w:rPr>
          <w:rFonts w:ascii="Helvetica" w:eastAsiaTheme="minorHAnsi" w:hAnsi="Helvetica"/>
          <w:sz w:val="22"/>
          <w:szCs w:val="22"/>
        </w:rPr>
        <w:t>T</w:t>
      </w:r>
      <w:r w:rsidRPr="009B5A0E">
        <w:rPr>
          <w:rFonts w:ascii="Helvetica" w:eastAsiaTheme="minorHAnsi" w:hAnsi="Helvetica"/>
          <w:sz w:val="22"/>
          <w:szCs w:val="22"/>
        </w:rPr>
        <w:t xml:space="preserve">he concluding Exit Phase project effort intends to consolidate the achieved outcomes </w:t>
      </w:r>
      <w:r>
        <w:rPr>
          <w:rFonts w:ascii="Helvetica" w:eastAsiaTheme="minorHAnsi" w:hAnsi="Helvetica"/>
          <w:sz w:val="22"/>
          <w:szCs w:val="22"/>
        </w:rPr>
        <w:t>with focus on</w:t>
      </w:r>
      <w:r w:rsidRPr="009B5A0E">
        <w:rPr>
          <w:rFonts w:ascii="Helvetica" w:eastAsiaTheme="minorHAnsi" w:hAnsi="Helvetica"/>
          <w:sz w:val="22"/>
          <w:szCs w:val="22"/>
          <w:lang w:val="en-US"/>
        </w:rPr>
        <w:t xml:space="preserve"> sustainable</w:t>
      </w:r>
      <w:r>
        <w:rPr>
          <w:rFonts w:ascii="Helvetica" w:eastAsiaTheme="minorHAnsi" w:hAnsi="Helvetica"/>
          <w:sz w:val="22"/>
          <w:szCs w:val="22"/>
          <w:lang w:val="en-US"/>
        </w:rPr>
        <w:t xml:space="preserve">, institutionalized </w:t>
      </w:r>
      <w:r w:rsidRPr="00BB1C55">
        <w:rPr>
          <w:rFonts w:ascii="Helvetica" w:eastAsiaTheme="minorHAnsi" w:hAnsi="Helvetica"/>
          <w:b/>
          <w:bCs/>
          <w:sz w:val="22"/>
          <w:szCs w:val="22"/>
          <w:lang w:val="en-US"/>
        </w:rPr>
        <w:t>capacity building systems</w:t>
      </w:r>
      <w:r>
        <w:rPr>
          <w:rFonts w:ascii="Helvetica" w:eastAsiaTheme="minorHAnsi" w:hAnsi="Helvetica"/>
          <w:sz w:val="22"/>
          <w:szCs w:val="22"/>
          <w:lang w:val="en-US"/>
        </w:rPr>
        <w:t xml:space="preserve"> for the municipal sector</w:t>
      </w:r>
      <w:r w:rsidRPr="009B5A0E">
        <w:rPr>
          <w:rFonts w:ascii="Helvetica" w:eastAsiaTheme="minorHAnsi" w:hAnsi="Helvetica"/>
          <w:sz w:val="22"/>
          <w:szCs w:val="22"/>
          <w:lang w:val="en-US"/>
        </w:rPr>
        <w:t xml:space="preserve">, and </w:t>
      </w:r>
      <w:r>
        <w:rPr>
          <w:rFonts w:ascii="Helvetica" w:eastAsiaTheme="minorHAnsi" w:hAnsi="Helvetica"/>
          <w:sz w:val="22"/>
          <w:szCs w:val="22"/>
          <w:lang w:val="en-US"/>
        </w:rPr>
        <w:t xml:space="preserve">further reinforcement of the </w:t>
      </w:r>
      <w:r w:rsidRPr="00BB1C55">
        <w:rPr>
          <w:rFonts w:ascii="Helvetica" w:eastAsiaTheme="minorHAnsi" w:hAnsi="Helvetica"/>
          <w:b/>
          <w:bCs/>
          <w:sz w:val="22"/>
          <w:szCs w:val="22"/>
          <w:lang w:val="en-US"/>
        </w:rPr>
        <w:t>legal, policy and regulatory environment</w:t>
      </w:r>
      <w:r>
        <w:rPr>
          <w:rFonts w:ascii="Helvetica" w:eastAsiaTheme="minorHAnsi" w:hAnsi="Helvetica"/>
          <w:sz w:val="22"/>
          <w:szCs w:val="22"/>
          <w:lang w:val="en-US"/>
        </w:rPr>
        <w:t xml:space="preserve">, prioritizing gender-responsive budgeting.  </w:t>
      </w:r>
    </w:p>
    <w:p w14:paraId="4CD3A217" w14:textId="77777777" w:rsidR="00915F0E" w:rsidRDefault="00915F0E" w:rsidP="00915F0E">
      <w:pPr>
        <w:jc w:val="both"/>
        <w:rPr>
          <w:rFonts w:ascii="Helvetica" w:eastAsiaTheme="minorHAnsi" w:hAnsi="Helvetica"/>
          <w:sz w:val="22"/>
          <w:szCs w:val="22"/>
          <w:lang w:val="en-US"/>
        </w:rPr>
      </w:pPr>
    </w:p>
    <w:p w14:paraId="6DFE23F2" w14:textId="77777777" w:rsidR="00915F0E" w:rsidRDefault="00915F0E" w:rsidP="00915F0E">
      <w:pPr>
        <w:jc w:val="both"/>
        <w:rPr>
          <w:rFonts w:ascii="Helvetica" w:hAnsi="Helvetica"/>
          <w:color w:val="000000"/>
          <w:sz w:val="22"/>
          <w:szCs w:val="22"/>
          <w:lang w:val="en"/>
        </w:rPr>
      </w:pPr>
      <w:r w:rsidRPr="001B7A7D">
        <w:rPr>
          <w:rFonts w:ascii="Helvetica" w:hAnsi="Helvetica"/>
          <w:color w:val="000000"/>
          <w:sz w:val="22"/>
          <w:szCs w:val="22"/>
          <w:lang w:val="en"/>
        </w:rPr>
        <w:t>By the</w:t>
      </w:r>
      <w:r>
        <w:rPr>
          <w:rFonts w:ascii="Helvetica" w:hAnsi="Helvetica"/>
          <w:color w:val="000000"/>
          <w:sz w:val="22"/>
          <w:szCs w:val="22"/>
          <w:lang w:val="en"/>
        </w:rPr>
        <w:t xml:space="preserve"> end of Exit Phase in early</w:t>
      </w:r>
      <w:r w:rsidRPr="001B7A7D">
        <w:rPr>
          <w:rFonts w:ascii="Helvetica" w:hAnsi="Helvetica"/>
          <w:color w:val="000000"/>
          <w:sz w:val="22"/>
          <w:szCs w:val="22"/>
          <w:lang w:val="en"/>
        </w:rPr>
        <w:t xml:space="preserve"> 2022</w:t>
      </w:r>
      <w:r>
        <w:rPr>
          <w:rFonts w:ascii="Helvetica" w:hAnsi="Helvetica"/>
          <w:color w:val="000000"/>
          <w:sz w:val="22"/>
          <w:szCs w:val="22"/>
          <w:lang w:val="en"/>
        </w:rPr>
        <w:t xml:space="preserve"> </w:t>
      </w:r>
      <w:r w:rsidRPr="001B7A7D">
        <w:rPr>
          <w:rFonts w:ascii="Helvetica" w:hAnsi="Helvetica"/>
          <w:color w:val="000000"/>
          <w:sz w:val="22"/>
          <w:szCs w:val="22"/>
          <w:lang w:val="en"/>
        </w:rPr>
        <w:t>following</w:t>
      </w:r>
      <w:r>
        <w:rPr>
          <w:rFonts w:ascii="Helvetica" w:hAnsi="Helvetica"/>
          <w:color w:val="000000"/>
          <w:sz w:val="22"/>
          <w:szCs w:val="22"/>
          <w:lang w:val="en"/>
        </w:rPr>
        <w:t xml:space="preserve"> key</w:t>
      </w:r>
      <w:r w:rsidRPr="001B7A7D">
        <w:rPr>
          <w:rFonts w:ascii="Helvetica" w:hAnsi="Helvetica"/>
          <w:color w:val="000000"/>
          <w:sz w:val="22"/>
          <w:szCs w:val="22"/>
          <w:lang w:val="en"/>
        </w:rPr>
        <w:t xml:space="preserve"> results</w:t>
      </w:r>
      <w:r>
        <w:rPr>
          <w:rFonts w:ascii="Helvetica" w:hAnsi="Helvetica"/>
          <w:color w:val="000000"/>
          <w:sz w:val="22"/>
          <w:szCs w:val="22"/>
          <w:lang w:val="en"/>
        </w:rPr>
        <w:t xml:space="preserve"> are planned:</w:t>
      </w:r>
      <w:r w:rsidRPr="001B7A7D">
        <w:rPr>
          <w:rFonts w:ascii="Helvetica" w:hAnsi="Helvetica"/>
          <w:color w:val="000000"/>
          <w:sz w:val="22"/>
          <w:szCs w:val="22"/>
          <w:lang w:val="en"/>
        </w:rPr>
        <w:t xml:space="preserve"> </w:t>
      </w:r>
    </w:p>
    <w:p w14:paraId="49B5E1B7" w14:textId="77777777" w:rsidR="00915F0E" w:rsidRDefault="00915F0E" w:rsidP="00915F0E">
      <w:pPr>
        <w:pStyle w:val="a4"/>
        <w:numPr>
          <w:ilvl w:val="0"/>
          <w:numId w:val="21"/>
        </w:numPr>
        <w:jc w:val="both"/>
        <w:rPr>
          <w:rFonts w:ascii="Helvetica" w:hAnsi="Helvetica"/>
          <w:sz w:val="22"/>
          <w:szCs w:val="22"/>
          <w:lang w:val="en"/>
        </w:rPr>
      </w:pPr>
      <w:r w:rsidRPr="001B7A7D">
        <w:rPr>
          <w:rFonts w:ascii="Helvetica" w:hAnsi="Helvetica"/>
          <w:sz w:val="22"/>
          <w:szCs w:val="22"/>
        </w:rPr>
        <w:t>Building on institutional support and capacity of the Union of LSGs, a main non-state partner, VAP</w:t>
      </w:r>
      <w:r w:rsidRPr="001B7A7D">
        <w:rPr>
          <w:rFonts w:ascii="Helvetica" w:hAnsi="Helvetica"/>
          <w:sz w:val="22"/>
          <w:szCs w:val="22"/>
          <w:lang w:val="en"/>
        </w:rPr>
        <w:t xml:space="preserve"> will launch the </w:t>
      </w:r>
      <w:r w:rsidRPr="001B7A7D">
        <w:rPr>
          <w:rFonts w:ascii="Helvetica" w:hAnsi="Helvetica"/>
          <w:b/>
          <w:bCs/>
          <w:sz w:val="22"/>
          <w:szCs w:val="22"/>
          <w:lang w:val="en"/>
        </w:rPr>
        <w:t>Portal of Best Practices</w:t>
      </w:r>
      <w:r w:rsidRPr="001B7A7D">
        <w:rPr>
          <w:rFonts w:ascii="Helvetica" w:hAnsi="Helvetica"/>
          <w:sz w:val="22"/>
          <w:szCs w:val="22"/>
          <w:lang w:val="en"/>
        </w:rPr>
        <w:t xml:space="preserve">, a primary digital resource for learning, </w:t>
      </w:r>
      <w:proofErr w:type="gramStart"/>
      <w:r w:rsidRPr="001B7A7D">
        <w:rPr>
          <w:rFonts w:ascii="Helvetica" w:hAnsi="Helvetica"/>
          <w:sz w:val="22"/>
          <w:szCs w:val="22"/>
          <w:lang w:val="en"/>
        </w:rPr>
        <w:t>training</w:t>
      </w:r>
      <w:proofErr w:type="gramEnd"/>
      <w:r w:rsidRPr="001B7A7D">
        <w:rPr>
          <w:rFonts w:ascii="Helvetica" w:hAnsi="Helvetica"/>
          <w:sz w:val="22"/>
          <w:szCs w:val="22"/>
          <w:lang w:val="en"/>
        </w:rPr>
        <w:t xml:space="preserve"> and developing communities of practice for municipal servants and local council members. VAP will also integrate the popular, established media component, the </w:t>
      </w:r>
      <w:r w:rsidRPr="001B7A7D">
        <w:rPr>
          <w:rFonts w:ascii="Helvetica" w:hAnsi="Helvetica"/>
          <w:b/>
          <w:bCs/>
          <w:sz w:val="22"/>
          <w:szCs w:val="22"/>
          <w:lang w:val="en"/>
        </w:rPr>
        <w:t>Municipality magazine</w:t>
      </w:r>
      <w:r w:rsidRPr="001B7A7D">
        <w:rPr>
          <w:rFonts w:ascii="Helvetica" w:hAnsi="Helvetica"/>
          <w:sz w:val="22"/>
          <w:szCs w:val="22"/>
          <w:lang w:val="en"/>
        </w:rPr>
        <w:t xml:space="preserve">, as a self-supporting publication firmly embedded in the community of municipal </w:t>
      </w:r>
      <w:proofErr w:type="gramStart"/>
      <w:r w:rsidRPr="001B7A7D">
        <w:rPr>
          <w:rFonts w:ascii="Helvetica" w:hAnsi="Helvetica"/>
          <w:sz w:val="22"/>
          <w:szCs w:val="22"/>
          <w:lang w:val="en"/>
        </w:rPr>
        <w:t>servants</w:t>
      </w:r>
      <w:r>
        <w:rPr>
          <w:rFonts w:ascii="Helvetica" w:hAnsi="Helvetica"/>
          <w:sz w:val="22"/>
          <w:szCs w:val="22"/>
          <w:lang w:val="en"/>
        </w:rPr>
        <w:t>;</w:t>
      </w:r>
      <w:proofErr w:type="gramEnd"/>
    </w:p>
    <w:p w14:paraId="61A10B69" w14:textId="77777777" w:rsidR="00915F0E" w:rsidRPr="001B7A7D" w:rsidRDefault="00915F0E" w:rsidP="00915F0E">
      <w:pPr>
        <w:pStyle w:val="a4"/>
        <w:numPr>
          <w:ilvl w:val="0"/>
          <w:numId w:val="21"/>
        </w:numPr>
        <w:jc w:val="both"/>
        <w:rPr>
          <w:rFonts w:ascii="Helvetica" w:hAnsi="Helvetica"/>
          <w:sz w:val="22"/>
          <w:szCs w:val="22"/>
          <w:lang w:val="en"/>
        </w:rPr>
      </w:pPr>
      <w:r w:rsidRPr="001B7A7D">
        <w:rPr>
          <w:rFonts w:ascii="Helvetica" w:hAnsi="Helvetica"/>
          <w:sz w:val="22"/>
          <w:szCs w:val="22"/>
        </w:rPr>
        <w:t xml:space="preserve">VAP will help </w:t>
      </w:r>
      <w:r>
        <w:rPr>
          <w:rFonts w:ascii="Helvetica" w:hAnsi="Helvetica"/>
          <w:sz w:val="22"/>
          <w:szCs w:val="22"/>
        </w:rPr>
        <w:t>the State Personnel Service (SPS)</w:t>
      </w:r>
      <w:r w:rsidRPr="001B7A7D">
        <w:rPr>
          <w:rFonts w:ascii="Helvetica" w:hAnsi="Helvetica"/>
          <w:sz w:val="22"/>
          <w:szCs w:val="22"/>
        </w:rPr>
        <w:t xml:space="preserve"> institutionalize</w:t>
      </w:r>
      <w:r>
        <w:rPr>
          <w:rFonts w:ascii="Helvetica" w:hAnsi="Helvetica"/>
          <w:sz w:val="22"/>
          <w:szCs w:val="22"/>
        </w:rPr>
        <w:t xml:space="preserve"> the</w:t>
      </w:r>
      <w:r w:rsidRPr="001B7A7D">
        <w:rPr>
          <w:rFonts w:ascii="Helvetica" w:hAnsi="Helvetica"/>
          <w:sz w:val="22"/>
          <w:szCs w:val="22"/>
        </w:rPr>
        <w:t xml:space="preserve"> mechanism for training municipal servants </w:t>
      </w:r>
      <w:r>
        <w:rPr>
          <w:rFonts w:ascii="Helvetica" w:hAnsi="Helvetica"/>
          <w:sz w:val="22"/>
          <w:szCs w:val="22"/>
        </w:rPr>
        <w:t xml:space="preserve">and </w:t>
      </w:r>
      <w:r w:rsidRPr="00806250">
        <w:rPr>
          <w:rFonts w:ascii="Helvetica" w:hAnsi="Helvetica"/>
          <w:sz w:val="22"/>
          <w:szCs w:val="22"/>
          <w:highlight w:val="yellow"/>
        </w:rPr>
        <w:t>deconcentrate</w:t>
      </w:r>
      <w:r w:rsidRPr="00BB1C55">
        <w:rPr>
          <w:rFonts w:ascii="Helvetica" w:hAnsi="Helvetica"/>
          <w:sz w:val="22"/>
          <w:szCs w:val="22"/>
        </w:rPr>
        <w:t xml:space="preserve"> the </w:t>
      </w:r>
      <w:r w:rsidRPr="001B7A7D">
        <w:rPr>
          <w:rFonts w:ascii="Helvetica" w:hAnsi="Helvetica"/>
          <w:b/>
          <w:bCs/>
          <w:sz w:val="22"/>
          <w:szCs w:val="22"/>
        </w:rPr>
        <w:t>continuous qualification upgrade</w:t>
      </w:r>
      <w:r w:rsidRPr="00BB1C55">
        <w:rPr>
          <w:rFonts w:ascii="Helvetica" w:hAnsi="Helvetica"/>
          <w:sz w:val="22"/>
          <w:szCs w:val="22"/>
        </w:rPr>
        <w:t xml:space="preserve"> </w:t>
      </w:r>
      <w:r>
        <w:rPr>
          <w:rFonts w:ascii="Helvetica" w:hAnsi="Helvetica"/>
          <w:sz w:val="22"/>
          <w:szCs w:val="22"/>
        </w:rPr>
        <w:t>training within the professional development system,</w:t>
      </w:r>
      <w:r w:rsidRPr="00BB1C55">
        <w:rPr>
          <w:rFonts w:ascii="Helvetica" w:hAnsi="Helvetica"/>
          <w:sz w:val="22"/>
          <w:szCs w:val="22"/>
        </w:rPr>
        <w:t xml:space="preserve"> by involving the regional universities and LSG experts</w:t>
      </w:r>
      <w:r>
        <w:rPr>
          <w:rFonts w:ascii="Helvetica" w:hAnsi="Helvetica"/>
          <w:sz w:val="22"/>
          <w:szCs w:val="22"/>
          <w:lang w:val="en"/>
        </w:rPr>
        <w:t>.</w:t>
      </w:r>
    </w:p>
    <w:p w14:paraId="7A3FA47E" w14:textId="77777777" w:rsidR="00915F0E" w:rsidRDefault="00915F0E" w:rsidP="00915F0E">
      <w:pPr>
        <w:pStyle w:val="a4"/>
        <w:numPr>
          <w:ilvl w:val="0"/>
          <w:numId w:val="21"/>
        </w:numPr>
        <w:jc w:val="both"/>
        <w:rPr>
          <w:rFonts w:ascii="Helvetica" w:hAnsi="Helvetica"/>
          <w:sz w:val="22"/>
          <w:szCs w:val="22"/>
          <w:lang w:val="en"/>
        </w:rPr>
      </w:pPr>
      <w:r w:rsidRPr="009B5A0E">
        <w:rPr>
          <w:rFonts w:ascii="Helvetica" w:hAnsi="Helvetica"/>
          <w:sz w:val="22"/>
          <w:szCs w:val="22"/>
        </w:rPr>
        <w:t xml:space="preserve">VAP project will provide specific assistance to ULSG, </w:t>
      </w:r>
      <w:r>
        <w:rPr>
          <w:rFonts w:ascii="Helvetica" w:hAnsi="Helvetica"/>
          <w:sz w:val="22"/>
          <w:szCs w:val="22"/>
        </w:rPr>
        <w:t>the State Agency for Local Governance and Inter-ethnic Relations (</w:t>
      </w:r>
      <w:r w:rsidRPr="009B5A0E">
        <w:rPr>
          <w:rFonts w:ascii="Helvetica" w:hAnsi="Helvetica"/>
          <w:sz w:val="22"/>
          <w:szCs w:val="22"/>
        </w:rPr>
        <w:t>SALSGIR</w:t>
      </w:r>
      <w:r>
        <w:rPr>
          <w:rFonts w:ascii="Helvetica" w:hAnsi="Helvetica"/>
          <w:sz w:val="22"/>
          <w:szCs w:val="22"/>
        </w:rPr>
        <w:t>)</w:t>
      </w:r>
      <w:r w:rsidRPr="009B5A0E">
        <w:rPr>
          <w:rFonts w:ascii="Helvetica" w:hAnsi="Helvetica"/>
          <w:sz w:val="22"/>
          <w:szCs w:val="22"/>
        </w:rPr>
        <w:t xml:space="preserve">, SPS, </w:t>
      </w:r>
      <w:r>
        <w:rPr>
          <w:rFonts w:ascii="Helvetica" w:hAnsi="Helvetica"/>
          <w:sz w:val="22"/>
          <w:szCs w:val="22"/>
        </w:rPr>
        <w:t>the Ministry of Finance (</w:t>
      </w:r>
      <w:r w:rsidRPr="009B5A0E">
        <w:rPr>
          <w:rFonts w:ascii="Helvetica" w:hAnsi="Helvetica"/>
          <w:sz w:val="22"/>
          <w:szCs w:val="22"/>
        </w:rPr>
        <w:t>MF</w:t>
      </w:r>
      <w:r>
        <w:rPr>
          <w:rFonts w:ascii="Helvetica" w:hAnsi="Helvetica"/>
          <w:sz w:val="22"/>
          <w:szCs w:val="22"/>
        </w:rPr>
        <w:t>)</w:t>
      </w:r>
      <w:r w:rsidRPr="009B5A0E">
        <w:rPr>
          <w:rFonts w:ascii="Helvetica" w:hAnsi="Helvetica"/>
          <w:sz w:val="22"/>
          <w:szCs w:val="22"/>
        </w:rPr>
        <w:t xml:space="preserve"> and other national stakeholders to advance several significant legal and regulatory frameworks</w:t>
      </w:r>
      <w:r>
        <w:rPr>
          <w:rFonts w:ascii="Helvetica" w:hAnsi="Helvetica"/>
          <w:sz w:val="22"/>
          <w:szCs w:val="22"/>
        </w:rPr>
        <w:t xml:space="preserve"> – including the </w:t>
      </w:r>
      <w:r w:rsidRPr="001B7A7D">
        <w:rPr>
          <w:rFonts w:ascii="Helvetica" w:hAnsi="Helvetica"/>
          <w:b/>
          <w:bCs/>
          <w:sz w:val="22"/>
          <w:szCs w:val="22"/>
          <w:lang w:val="en"/>
        </w:rPr>
        <w:t>Code on Local Self-Governance, Law on Inter-budgetary Dialogue</w:t>
      </w:r>
      <w:r>
        <w:rPr>
          <w:rFonts w:ascii="Helvetica" w:hAnsi="Helvetica"/>
          <w:sz w:val="22"/>
          <w:szCs w:val="22"/>
          <w:lang w:val="en"/>
        </w:rPr>
        <w:t xml:space="preserve"> - and </w:t>
      </w:r>
      <w:r w:rsidRPr="009B5A0E">
        <w:rPr>
          <w:rFonts w:ascii="Helvetica" w:hAnsi="Helvetica"/>
          <w:sz w:val="22"/>
          <w:szCs w:val="22"/>
          <w:lang w:val="en"/>
        </w:rPr>
        <w:t xml:space="preserve">promote national policy alignment with the key norms and principles of the </w:t>
      </w:r>
      <w:r w:rsidRPr="001B7A7D">
        <w:rPr>
          <w:rFonts w:ascii="Helvetica" w:hAnsi="Helvetica"/>
          <w:b/>
          <w:bCs/>
          <w:sz w:val="22"/>
          <w:szCs w:val="22"/>
          <w:lang w:val="en"/>
        </w:rPr>
        <w:t xml:space="preserve">European Charter of Local </w:t>
      </w:r>
      <w:proofErr w:type="gramStart"/>
      <w:r w:rsidRPr="001B7A7D">
        <w:rPr>
          <w:rFonts w:ascii="Helvetica" w:hAnsi="Helvetica"/>
          <w:b/>
          <w:bCs/>
          <w:sz w:val="22"/>
          <w:szCs w:val="22"/>
          <w:lang w:val="en"/>
        </w:rPr>
        <w:t>Self-Government</w:t>
      </w:r>
      <w:r>
        <w:rPr>
          <w:rFonts w:ascii="Helvetica" w:hAnsi="Helvetica"/>
          <w:sz w:val="22"/>
          <w:szCs w:val="22"/>
          <w:lang w:val="en"/>
        </w:rPr>
        <w:t>;</w:t>
      </w:r>
      <w:proofErr w:type="gramEnd"/>
      <w:r>
        <w:rPr>
          <w:rFonts w:ascii="Helvetica" w:hAnsi="Helvetica"/>
          <w:sz w:val="22"/>
          <w:szCs w:val="22"/>
          <w:lang w:val="en"/>
        </w:rPr>
        <w:t xml:space="preserve"> </w:t>
      </w:r>
    </w:p>
    <w:p w14:paraId="76965E72" w14:textId="77777777" w:rsidR="00915F0E" w:rsidRDefault="00915F0E" w:rsidP="00915F0E">
      <w:pPr>
        <w:pStyle w:val="a4"/>
        <w:numPr>
          <w:ilvl w:val="0"/>
          <w:numId w:val="21"/>
        </w:numPr>
        <w:jc w:val="both"/>
        <w:rPr>
          <w:rFonts w:ascii="Helvetica" w:hAnsi="Helvetica"/>
          <w:sz w:val="22"/>
          <w:szCs w:val="22"/>
          <w:lang w:val="en"/>
        </w:rPr>
      </w:pPr>
      <w:r>
        <w:rPr>
          <w:rFonts w:ascii="Helvetica" w:hAnsi="Helvetica"/>
          <w:sz w:val="22"/>
          <w:szCs w:val="22"/>
          <w:lang w:val="en"/>
        </w:rPr>
        <w:t xml:space="preserve">In parallel, VAP will enable the main national partners for </w:t>
      </w:r>
      <w:r w:rsidRPr="001B7A7D">
        <w:rPr>
          <w:rFonts w:ascii="Helvetica" w:hAnsi="Helvetica"/>
          <w:b/>
          <w:bCs/>
          <w:sz w:val="22"/>
          <w:szCs w:val="22"/>
          <w:lang w:val="en"/>
        </w:rPr>
        <w:t>enforcement of existing participatory budgeting frameworks</w:t>
      </w:r>
      <w:r>
        <w:rPr>
          <w:rFonts w:ascii="Helvetica" w:hAnsi="Helvetica"/>
          <w:sz w:val="22"/>
          <w:szCs w:val="22"/>
          <w:lang w:val="en"/>
        </w:rPr>
        <w:t xml:space="preserve"> with emphasis on </w:t>
      </w:r>
      <w:r w:rsidRPr="009B5A0E">
        <w:rPr>
          <w:rFonts w:ascii="Helvetica" w:hAnsi="Helvetica"/>
          <w:sz w:val="22"/>
          <w:szCs w:val="22"/>
          <w:lang w:val="en"/>
        </w:rPr>
        <w:t xml:space="preserve">a genuinely representative, </w:t>
      </w:r>
      <w:r w:rsidRPr="009B5A0E">
        <w:rPr>
          <w:rFonts w:ascii="Helvetica" w:hAnsi="Helvetica"/>
          <w:sz w:val="22"/>
          <w:szCs w:val="22"/>
          <w:lang w:val="en"/>
        </w:rPr>
        <w:lastRenderedPageBreak/>
        <w:t xml:space="preserve">inclusive, and </w:t>
      </w:r>
      <w:r>
        <w:rPr>
          <w:rFonts w:ascii="Helvetica" w:hAnsi="Helvetica"/>
          <w:sz w:val="22"/>
          <w:szCs w:val="22"/>
          <w:lang w:val="en"/>
        </w:rPr>
        <w:t>gender-</w:t>
      </w:r>
      <w:r w:rsidRPr="009B5A0E">
        <w:rPr>
          <w:rFonts w:ascii="Helvetica" w:hAnsi="Helvetica"/>
          <w:sz w:val="22"/>
          <w:szCs w:val="22"/>
          <w:lang w:val="en"/>
        </w:rPr>
        <w:t>responsive local budgetary process</w:t>
      </w:r>
      <w:r>
        <w:rPr>
          <w:rFonts w:ascii="Helvetica" w:hAnsi="Helvetica"/>
          <w:sz w:val="22"/>
          <w:szCs w:val="22"/>
          <w:lang w:val="en"/>
        </w:rPr>
        <w:t xml:space="preserve">, through technical assistance, advocacy and limited civic initiatives funding under </w:t>
      </w:r>
      <w:r>
        <w:rPr>
          <w:rFonts w:ascii="Helvetica" w:hAnsi="Helvetica"/>
          <w:sz w:val="22"/>
          <w:szCs w:val="22"/>
          <w:lang w:val="en-CA"/>
        </w:rPr>
        <w:t>a</w:t>
      </w:r>
      <w:r>
        <w:rPr>
          <w:rFonts w:ascii="Helvetica" w:hAnsi="Helvetica"/>
          <w:sz w:val="22"/>
          <w:szCs w:val="22"/>
          <w:lang w:val="en"/>
        </w:rPr>
        <w:t xml:space="preserve"> local </w:t>
      </w:r>
      <w:proofErr w:type="gramStart"/>
      <w:r>
        <w:rPr>
          <w:rFonts w:ascii="Helvetica" w:hAnsi="Helvetica"/>
          <w:sz w:val="22"/>
          <w:szCs w:val="22"/>
          <w:lang w:val="en"/>
        </w:rPr>
        <w:t>initiatives</w:t>
      </w:r>
      <w:proofErr w:type="gramEnd"/>
      <w:r>
        <w:rPr>
          <w:rFonts w:ascii="Helvetica" w:hAnsi="Helvetica"/>
          <w:sz w:val="22"/>
          <w:szCs w:val="22"/>
          <w:lang w:val="en"/>
        </w:rPr>
        <w:t xml:space="preserve"> mechanism.</w:t>
      </w:r>
    </w:p>
    <w:p w14:paraId="2FE59A08" w14:textId="77777777" w:rsidR="00AF6EF7" w:rsidRPr="009B5A0E" w:rsidRDefault="00DA0DFE" w:rsidP="00971B59">
      <w:pPr>
        <w:pStyle w:val="H1"/>
        <w:tabs>
          <w:tab w:val="clear" w:pos="2847"/>
        </w:tabs>
        <w:ind w:left="567" w:hanging="567"/>
      </w:pPr>
      <w:r w:rsidRPr="009B5A0E">
        <w:t>Objectives</w:t>
      </w:r>
      <w:bookmarkEnd w:id="2"/>
    </w:p>
    <w:p w14:paraId="1652F7DB" w14:textId="51BC6A25" w:rsidR="00384617" w:rsidRPr="009B5A0E" w:rsidRDefault="00DA0DFE" w:rsidP="000918D3">
      <w:pPr>
        <w:pStyle w:val="2"/>
        <w:tabs>
          <w:tab w:val="clear" w:pos="567"/>
        </w:tabs>
        <w:ind w:left="720"/>
        <w:jc w:val="left"/>
        <w:rPr>
          <w:rFonts w:ascii="Helvetica" w:hAnsi="Helvetica"/>
        </w:rPr>
      </w:pPr>
      <w:bookmarkStart w:id="3" w:name="_Toc48896049"/>
      <w:r w:rsidRPr="009B5A0E">
        <w:rPr>
          <w:rFonts w:ascii="Helvetica" w:hAnsi="Helvetica"/>
        </w:rPr>
        <w:t>Project objectives and the expected results with: outputs, outcomes and impact</w:t>
      </w:r>
      <w:bookmarkEnd w:id="3"/>
    </w:p>
    <w:p w14:paraId="07FB42F6" w14:textId="77777777" w:rsidR="008E41B9" w:rsidRPr="009B5A0E" w:rsidRDefault="00BA1717" w:rsidP="009901D9">
      <w:pPr>
        <w:jc w:val="both"/>
        <w:rPr>
          <w:rFonts w:ascii="Helvetica" w:eastAsiaTheme="minorHAnsi" w:hAnsi="Helvetica"/>
          <w:sz w:val="22"/>
          <w:szCs w:val="22"/>
          <w:lang w:val="en-US"/>
        </w:rPr>
      </w:pPr>
      <w:r w:rsidRPr="009B5A0E">
        <w:rPr>
          <w:rFonts w:ascii="Helvetica" w:eastAsiaTheme="minorHAnsi" w:hAnsi="Helvetica"/>
          <w:sz w:val="22"/>
          <w:szCs w:val="22"/>
        </w:rPr>
        <w:t xml:space="preserve">Based on </w:t>
      </w:r>
      <w:r w:rsidR="004E2F5F" w:rsidRPr="009B5A0E">
        <w:rPr>
          <w:rFonts w:ascii="Helvetica" w:eastAsiaTheme="minorHAnsi" w:hAnsi="Helvetica"/>
          <w:sz w:val="22"/>
          <w:szCs w:val="22"/>
        </w:rPr>
        <w:t xml:space="preserve">results </w:t>
      </w:r>
      <w:r w:rsidRPr="009B5A0E">
        <w:rPr>
          <w:rFonts w:ascii="Helvetica" w:eastAsiaTheme="minorHAnsi" w:hAnsi="Helvetica"/>
          <w:sz w:val="22"/>
          <w:szCs w:val="22"/>
        </w:rPr>
        <w:t>of Phase II, including the external end-of-phase Evaluation, the</w:t>
      </w:r>
      <w:r w:rsidR="004E2F5F" w:rsidRPr="009B5A0E">
        <w:rPr>
          <w:rFonts w:ascii="Helvetica" w:eastAsiaTheme="minorHAnsi" w:hAnsi="Helvetica"/>
          <w:sz w:val="22"/>
          <w:szCs w:val="22"/>
        </w:rPr>
        <w:t xml:space="preserve"> concluding Exit Phase project effort </w:t>
      </w:r>
      <w:r w:rsidRPr="009B5A0E">
        <w:rPr>
          <w:rFonts w:ascii="Helvetica" w:eastAsiaTheme="minorHAnsi" w:hAnsi="Helvetica"/>
          <w:sz w:val="22"/>
          <w:szCs w:val="22"/>
        </w:rPr>
        <w:t>intends to consolidate the achieved outcomes at the macro level of engagement. The overall goal</w:t>
      </w:r>
      <w:r w:rsidR="004E2F5F" w:rsidRPr="009B5A0E">
        <w:rPr>
          <w:rFonts w:ascii="Helvetica" w:eastAsiaTheme="minorHAnsi" w:hAnsi="Helvetica"/>
          <w:sz w:val="22"/>
          <w:szCs w:val="22"/>
        </w:rPr>
        <w:t xml:space="preserve"> statement remains the same, with minor adjustment of wording - </w:t>
      </w:r>
      <w:r w:rsidR="004E2F5F" w:rsidRPr="009B5A0E">
        <w:rPr>
          <w:rFonts w:ascii="Helvetica" w:eastAsiaTheme="minorHAnsi" w:hAnsi="Helvetica"/>
          <w:sz w:val="22"/>
          <w:szCs w:val="22"/>
          <w:lang w:val="en-US"/>
        </w:rPr>
        <w:t>p</w:t>
      </w:r>
      <w:r w:rsidR="000867CB" w:rsidRPr="009B5A0E">
        <w:rPr>
          <w:rFonts w:ascii="Helvetica" w:eastAsiaTheme="minorHAnsi" w:hAnsi="Helvetica"/>
          <w:sz w:val="22"/>
          <w:szCs w:val="22"/>
          <w:lang w:val="en-US"/>
        </w:rPr>
        <w:t>ublic finances are managed by LSGs in a more transparent and accountable mode through citizen participation in decision making process</w:t>
      </w:r>
      <w:r w:rsidR="004E2F5F" w:rsidRPr="009B5A0E">
        <w:rPr>
          <w:rFonts w:ascii="Helvetica" w:eastAsiaTheme="minorHAnsi" w:hAnsi="Helvetica"/>
          <w:sz w:val="22"/>
          <w:szCs w:val="22"/>
          <w:lang w:val="en-US"/>
        </w:rPr>
        <w:t xml:space="preserve">. </w:t>
      </w:r>
    </w:p>
    <w:p w14:paraId="4D4485E6" w14:textId="77777777" w:rsidR="008E41B9" w:rsidRPr="009B5A0E" w:rsidRDefault="008E41B9" w:rsidP="009901D9">
      <w:pPr>
        <w:jc w:val="both"/>
        <w:rPr>
          <w:rFonts w:ascii="Helvetica" w:eastAsiaTheme="minorHAnsi" w:hAnsi="Helvetica"/>
          <w:sz w:val="22"/>
          <w:szCs w:val="22"/>
          <w:lang w:val="en-US"/>
        </w:rPr>
      </w:pPr>
    </w:p>
    <w:p w14:paraId="58D19AAD" w14:textId="4949E920" w:rsidR="008E41B9" w:rsidRPr="009B5A0E" w:rsidRDefault="004E2F5F" w:rsidP="009901D9">
      <w:pPr>
        <w:jc w:val="both"/>
        <w:rPr>
          <w:rFonts w:ascii="Helvetica" w:eastAsiaTheme="minorHAnsi" w:hAnsi="Helvetica"/>
          <w:i/>
          <w:iCs/>
          <w:sz w:val="22"/>
          <w:szCs w:val="22"/>
          <w:lang w:val="en-US"/>
        </w:rPr>
      </w:pPr>
      <w:r w:rsidRPr="009B5A0E">
        <w:rPr>
          <w:rFonts w:ascii="Helvetica" w:eastAsiaTheme="minorHAnsi" w:hAnsi="Helvetica"/>
          <w:sz w:val="22"/>
          <w:szCs w:val="22"/>
          <w:lang w:val="en-US"/>
        </w:rPr>
        <w:t>The broader underlying theory of change</w:t>
      </w:r>
      <w:r w:rsidR="008E41B9" w:rsidRPr="009B5A0E">
        <w:rPr>
          <w:rFonts w:ascii="Helvetica" w:eastAsiaTheme="minorHAnsi" w:hAnsi="Helvetica"/>
          <w:sz w:val="22"/>
          <w:szCs w:val="22"/>
          <w:lang w:val="en-US"/>
        </w:rPr>
        <w:t xml:space="preserve"> is also essentially the same: </w:t>
      </w:r>
      <w:r w:rsidR="008E41B9" w:rsidRPr="009B5A0E">
        <w:rPr>
          <w:rFonts w:ascii="Helvetica" w:eastAsiaTheme="minorHAnsi" w:hAnsi="Helvetica"/>
          <w:b/>
          <w:bCs/>
          <w:i/>
          <w:iCs/>
          <w:sz w:val="22"/>
          <w:szCs w:val="22"/>
          <w:lang w:val="en-US"/>
        </w:rPr>
        <w:t>If</w:t>
      </w:r>
      <w:r w:rsidR="008E41B9" w:rsidRPr="009B5A0E">
        <w:rPr>
          <w:rFonts w:ascii="Helvetica" w:eastAsiaTheme="minorHAnsi" w:hAnsi="Helvetica"/>
          <w:i/>
          <w:iCs/>
          <w:sz w:val="22"/>
          <w:szCs w:val="22"/>
          <w:lang w:val="en-US"/>
        </w:rPr>
        <w:t xml:space="preserve"> there is an adequate enabling environment (legislation, enforcement, practices) and if LSGs have sufficient capacities (rights, authorities, funds and skilled staff), and if accountability is required by local communities willing to participate in the decision-making process, </w:t>
      </w:r>
      <w:r w:rsidR="008E41B9" w:rsidRPr="009B5A0E">
        <w:rPr>
          <w:rFonts w:ascii="Helvetica" w:eastAsiaTheme="minorHAnsi" w:hAnsi="Helvetica"/>
          <w:b/>
          <w:bCs/>
          <w:i/>
          <w:iCs/>
          <w:sz w:val="22"/>
          <w:szCs w:val="22"/>
          <w:lang w:val="en-US"/>
        </w:rPr>
        <w:t>then</w:t>
      </w:r>
      <w:r w:rsidR="008E41B9" w:rsidRPr="009B5A0E">
        <w:rPr>
          <w:rFonts w:ascii="Helvetica" w:eastAsiaTheme="minorHAnsi" w:hAnsi="Helvetica"/>
          <w:i/>
          <w:iCs/>
          <w:sz w:val="22"/>
          <w:szCs w:val="22"/>
          <w:lang w:val="en-US"/>
        </w:rPr>
        <w:t xml:space="preserve"> LSGs will become accountable</w:t>
      </w:r>
      <w:r w:rsidR="004726CA" w:rsidRPr="004726CA">
        <w:rPr>
          <w:rFonts w:ascii="Arial" w:eastAsiaTheme="minorEastAsia" w:hAnsi="Arial" w:cs="Arial"/>
          <w:iCs/>
          <w:color w:val="000000"/>
          <w:sz w:val="22"/>
          <w:szCs w:val="22"/>
          <w:shd w:val="clear" w:color="auto" w:fill="FFFFFF"/>
          <w:lang w:val="en-US" w:eastAsia="zh-CN"/>
        </w:rPr>
        <w:t xml:space="preserve"> </w:t>
      </w:r>
      <w:r w:rsidR="004726CA" w:rsidRPr="004726CA">
        <w:rPr>
          <w:rFonts w:ascii="Helvetica" w:eastAsiaTheme="minorHAnsi" w:hAnsi="Helvetica"/>
          <w:i/>
          <w:iCs/>
          <w:sz w:val="22"/>
          <w:szCs w:val="22"/>
          <w:lang w:val="en-US"/>
        </w:rPr>
        <w:t>and responsive to the needs of citizens</w:t>
      </w:r>
      <w:r w:rsidR="008E41B9" w:rsidRPr="009B5A0E">
        <w:rPr>
          <w:rFonts w:ascii="Helvetica" w:eastAsiaTheme="minorHAnsi" w:hAnsi="Helvetica"/>
          <w:i/>
          <w:iCs/>
          <w:sz w:val="22"/>
          <w:szCs w:val="22"/>
          <w:lang w:val="en-US"/>
        </w:rPr>
        <w:t xml:space="preserve">. </w:t>
      </w:r>
    </w:p>
    <w:p w14:paraId="7C27BBAE" w14:textId="77777777" w:rsidR="008E41B9" w:rsidRPr="009B5A0E" w:rsidRDefault="008E41B9" w:rsidP="009901D9">
      <w:pPr>
        <w:jc w:val="both"/>
        <w:rPr>
          <w:rFonts w:ascii="Helvetica" w:eastAsiaTheme="minorHAnsi" w:hAnsi="Helvetica"/>
          <w:sz w:val="22"/>
          <w:szCs w:val="22"/>
          <w:lang w:val="en-US"/>
        </w:rPr>
      </w:pPr>
    </w:p>
    <w:p w14:paraId="1AAF0AD7" w14:textId="5EA2332B" w:rsidR="00AF6EF7" w:rsidRPr="005B7ECA" w:rsidRDefault="00B26905" w:rsidP="00B26905">
      <w:pPr>
        <w:jc w:val="both"/>
        <w:rPr>
          <w:rFonts w:asciiTheme="minorHAnsi" w:eastAsiaTheme="minorHAnsi" w:hAnsiTheme="minorHAnsi"/>
          <w:sz w:val="22"/>
          <w:szCs w:val="22"/>
          <w:lang w:val="en-US"/>
        </w:rPr>
      </w:pPr>
      <w:r w:rsidRPr="009B5A0E">
        <w:rPr>
          <w:rFonts w:ascii="Helvetica" w:eastAsiaTheme="minorHAnsi" w:hAnsi="Helvetica"/>
          <w:sz w:val="22"/>
          <w:szCs w:val="22"/>
          <w:lang w:val="en-US"/>
        </w:rPr>
        <w:t>S</w:t>
      </w:r>
      <w:r w:rsidR="008E41B9" w:rsidRPr="009B5A0E">
        <w:rPr>
          <w:rFonts w:ascii="Helvetica" w:eastAsiaTheme="minorHAnsi" w:hAnsi="Helvetica"/>
          <w:sz w:val="22"/>
          <w:szCs w:val="22"/>
          <w:lang w:val="en-US"/>
        </w:rPr>
        <w:t xml:space="preserve">pecific intended outcomes under Exit Phase are aimed at </w:t>
      </w:r>
      <w:r w:rsidRPr="009B5A0E">
        <w:rPr>
          <w:rFonts w:ascii="Helvetica" w:eastAsiaTheme="minorHAnsi" w:hAnsi="Helvetica"/>
          <w:sz w:val="22"/>
          <w:szCs w:val="22"/>
          <w:lang w:val="en-US"/>
        </w:rPr>
        <w:t>ensuring there is sufficient sustainable capacity, and adequate enabling environment for enforcement</w:t>
      </w:r>
      <w:r w:rsidR="00AF6EF7" w:rsidRPr="009B5A0E">
        <w:rPr>
          <w:rFonts w:ascii="Helvetica" w:eastAsiaTheme="minorHAnsi" w:hAnsi="Helvetica"/>
          <w:sz w:val="22"/>
          <w:szCs w:val="22"/>
          <w:lang w:val="en-US"/>
        </w:rPr>
        <w:t>:</w:t>
      </w:r>
    </w:p>
    <w:p w14:paraId="4BBF60ED" w14:textId="1F7B7773" w:rsidR="00AF6EF7" w:rsidRPr="005B7ECA" w:rsidRDefault="00B26905" w:rsidP="000449F3">
      <w:pPr>
        <w:pStyle w:val="a4"/>
        <w:numPr>
          <w:ilvl w:val="0"/>
          <w:numId w:val="4"/>
        </w:numPr>
        <w:jc w:val="both"/>
        <w:textAlignment w:val="baseline"/>
        <w:rPr>
          <w:rFonts w:ascii="Helvetica" w:hAnsi="Helvetica"/>
          <w:i/>
          <w:iCs/>
          <w:color w:val="000000"/>
          <w:sz w:val="22"/>
          <w:szCs w:val="22"/>
        </w:rPr>
      </w:pPr>
      <w:r w:rsidRPr="009B5A0E">
        <w:rPr>
          <w:rFonts w:ascii="Helvetica" w:hAnsi="Helvetica"/>
          <w:b/>
          <w:bCs/>
          <w:i/>
          <w:iCs/>
          <w:color w:val="000000"/>
          <w:sz w:val="22"/>
          <w:szCs w:val="22"/>
        </w:rPr>
        <w:t xml:space="preserve">If </w:t>
      </w:r>
      <w:r w:rsidRPr="009B5A0E">
        <w:rPr>
          <w:rFonts w:ascii="Helvetica" w:hAnsi="Helvetica"/>
          <w:i/>
          <w:iCs/>
          <w:color w:val="000000"/>
          <w:sz w:val="22"/>
          <w:szCs w:val="22"/>
        </w:rPr>
        <w:t xml:space="preserve">the capacity buildings systems are institutionalized to function in future independently of VAP, </w:t>
      </w:r>
      <w:r w:rsidR="00AF6EF7" w:rsidRPr="009B5A0E">
        <w:rPr>
          <w:rFonts w:ascii="Helvetica" w:hAnsi="Helvetica"/>
          <w:b/>
          <w:bCs/>
          <w:i/>
          <w:iCs/>
          <w:color w:val="000000"/>
          <w:sz w:val="22"/>
          <w:szCs w:val="22"/>
        </w:rPr>
        <w:t xml:space="preserve">then </w:t>
      </w:r>
      <w:r w:rsidRPr="009B5A0E">
        <w:rPr>
          <w:rFonts w:ascii="Helvetica" w:hAnsi="Helvetica"/>
          <w:i/>
          <w:iCs/>
          <w:color w:val="000000"/>
          <w:sz w:val="22"/>
          <w:szCs w:val="22"/>
        </w:rPr>
        <w:t xml:space="preserve">all municipal servants and LSGs will continue to benefit from access to learning, practice and networks. </w:t>
      </w:r>
    </w:p>
    <w:p w14:paraId="07F6449C" w14:textId="77777777" w:rsidR="00B26905" w:rsidRPr="009B5A0E" w:rsidRDefault="00B26905" w:rsidP="000449F3">
      <w:pPr>
        <w:pStyle w:val="a4"/>
        <w:numPr>
          <w:ilvl w:val="0"/>
          <w:numId w:val="4"/>
        </w:numPr>
        <w:jc w:val="both"/>
        <w:textAlignment w:val="baseline"/>
        <w:rPr>
          <w:rFonts w:ascii="Helvetica" w:hAnsi="Helvetica"/>
          <w:i/>
          <w:iCs/>
          <w:color w:val="000000"/>
          <w:sz w:val="22"/>
          <w:szCs w:val="22"/>
        </w:rPr>
      </w:pPr>
      <w:r w:rsidRPr="009B5A0E">
        <w:rPr>
          <w:rFonts w:ascii="Helvetica" w:hAnsi="Helvetica"/>
          <w:b/>
          <w:bCs/>
          <w:i/>
          <w:iCs/>
          <w:color w:val="000000"/>
          <w:sz w:val="22"/>
          <w:szCs w:val="22"/>
        </w:rPr>
        <w:t>If</w:t>
      </w:r>
      <w:r w:rsidRPr="009B5A0E">
        <w:rPr>
          <w:rFonts w:ascii="Helvetica" w:hAnsi="Helvetica"/>
          <w:i/>
          <w:iCs/>
          <w:color w:val="000000"/>
          <w:sz w:val="22"/>
          <w:szCs w:val="22"/>
        </w:rPr>
        <w:t xml:space="preserve"> key incentivizing frameworks are in place and key stakeholders are enabled for enforcement, </w:t>
      </w:r>
      <w:r w:rsidR="00AF6EF7" w:rsidRPr="009B5A0E">
        <w:rPr>
          <w:rFonts w:ascii="Helvetica" w:hAnsi="Helvetica"/>
          <w:b/>
          <w:bCs/>
          <w:i/>
          <w:iCs/>
          <w:color w:val="000000"/>
          <w:sz w:val="22"/>
          <w:szCs w:val="22"/>
        </w:rPr>
        <w:t xml:space="preserve">then </w:t>
      </w:r>
      <w:r w:rsidRPr="009B5A0E">
        <w:rPr>
          <w:rFonts w:ascii="Helvetica" w:hAnsi="Helvetica"/>
          <w:i/>
          <w:iCs/>
          <w:color w:val="000000"/>
          <w:sz w:val="22"/>
          <w:szCs w:val="22"/>
        </w:rPr>
        <w:t>more LSGs will show interest in and implement the legally mandatory participatory budgeting methods.</w:t>
      </w:r>
    </w:p>
    <w:p w14:paraId="0DB2C65A" w14:textId="77777777" w:rsidR="00B26905" w:rsidRPr="009B5A0E" w:rsidRDefault="00B26905" w:rsidP="00B26905">
      <w:pPr>
        <w:jc w:val="both"/>
        <w:rPr>
          <w:rFonts w:ascii="Helvetica" w:eastAsiaTheme="minorHAnsi" w:hAnsi="Helvetica"/>
          <w:sz w:val="22"/>
          <w:szCs w:val="22"/>
          <w:lang w:val="en-US"/>
        </w:rPr>
      </w:pPr>
    </w:p>
    <w:p w14:paraId="1E702E95" w14:textId="77777777" w:rsidR="00B26905" w:rsidRPr="009B5A0E" w:rsidRDefault="008E41B9" w:rsidP="00B26905">
      <w:pPr>
        <w:jc w:val="both"/>
        <w:rPr>
          <w:rFonts w:ascii="Helvetica" w:eastAsiaTheme="minorHAnsi" w:hAnsi="Helvetica"/>
          <w:sz w:val="22"/>
          <w:szCs w:val="22"/>
          <w:lang w:val="en-US"/>
        </w:rPr>
      </w:pPr>
      <w:r w:rsidRPr="009B5A0E">
        <w:rPr>
          <w:rFonts w:ascii="Helvetica" w:eastAsiaTheme="minorHAnsi" w:hAnsi="Helvetica"/>
          <w:sz w:val="22"/>
          <w:szCs w:val="22"/>
          <w:lang w:val="en-US"/>
        </w:rPr>
        <w:t xml:space="preserve">More specifically, </w:t>
      </w:r>
      <w:r w:rsidR="00B26905" w:rsidRPr="009B5A0E">
        <w:rPr>
          <w:rFonts w:ascii="Helvetica" w:eastAsiaTheme="minorHAnsi" w:hAnsi="Helvetica"/>
          <w:sz w:val="22"/>
          <w:szCs w:val="22"/>
          <w:lang w:val="en-US"/>
        </w:rPr>
        <w:t xml:space="preserve">while </w:t>
      </w:r>
      <w:r w:rsidRPr="009B5A0E">
        <w:rPr>
          <w:rFonts w:ascii="Helvetica" w:eastAsiaTheme="minorHAnsi" w:hAnsi="Helvetica"/>
          <w:sz w:val="22"/>
          <w:szCs w:val="22"/>
          <w:lang w:val="en-US"/>
        </w:rPr>
        <w:t>Phase II</w:t>
      </w:r>
      <w:r w:rsidR="00CD41AD" w:rsidRPr="009B5A0E">
        <w:rPr>
          <w:rFonts w:ascii="Helvetica" w:eastAsiaTheme="minorHAnsi" w:hAnsi="Helvetica"/>
          <w:sz w:val="22"/>
          <w:szCs w:val="22"/>
          <w:lang w:val="en-US"/>
        </w:rPr>
        <w:t xml:space="preserve"> leverag</w:t>
      </w:r>
      <w:r w:rsidR="00B26905" w:rsidRPr="009B5A0E">
        <w:rPr>
          <w:rFonts w:ascii="Helvetica" w:eastAsiaTheme="minorHAnsi" w:hAnsi="Helvetica"/>
          <w:sz w:val="22"/>
          <w:szCs w:val="22"/>
          <w:lang w:val="en-US"/>
        </w:rPr>
        <w:t>ed</w:t>
      </w:r>
      <w:r w:rsidR="00CD41AD" w:rsidRPr="009B5A0E">
        <w:rPr>
          <w:rFonts w:ascii="Helvetica" w:eastAsiaTheme="minorHAnsi" w:hAnsi="Helvetica"/>
          <w:sz w:val="22"/>
          <w:szCs w:val="22"/>
          <w:lang w:val="en-US"/>
        </w:rPr>
        <w:t xml:space="preserve"> the mutually reinforcing cycle of demand for LSG accountability (community engagement, participation and responsibility) and supply of LGS accountability (LSG’s responsiveness to civic initiatives) </w:t>
      </w:r>
      <w:r w:rsidRPr="009B5A0E">
        <w:rPr>
          <w:rFonts w:ascii="Helvetica" w:eastAsiaTheme="minorHAnsi" w:hAnsi="Helvetica"/>
          <w:sz w:val="22"/>
          <w:szCs w:val="22"/>
          <w:lang w:val="en-US"/>
        </w:rPr>
        <w:t xml:space="preserve">– </w:t>
      </w:r>
      <w:r w:rsidR="00B26905" w:rsidRPr="009B5A0E">
        <w:rPr>
          <w:rFonts w:ascii="Helvetica" w:eastAsiaTheme="minorHAnsi" w:hAnsi="Helvetica"/>
          <w:sz w:val="22"/>
          <w:szCs w:val="22"/>
          <w:lang w:val="en-US"/>
        </w:rPr>
        <w:t xml:space="preserve">the Exit Phase effort seeks to ensure </w:t>
      </w:r>
      <w:r w:rsidRPr="009B5A0E">
        <w:rPr>
          <w:rFonts w:ascii="Helvetica" w:eastAsiaTheme="minorHAnsi" w:hAnsi="Helvetica"/>
          <w:sz w:val="22"/>
          <w:szCs w:val="22"/>
          <w:lang w:val="en-US"/>
        </w:rPr>
        <w:t xml:space="preserve"> </w:t>
      </w:r>
      <w:r w:rsidR="00B26905" w:rsidRPr="009B5A0E">
        <w:rPr>
          <w:rFonts w:ascii="Helvetica" w:eastAsiaTheme="minorHAnsi" w:hAnsi="Helvetica"/>
          <w:sz w:val="22"/>
          <w:szCs w:val="22"/>
          <w:lang w:val="en-US"/>
        </w:rPr>
        <w:t xml:space="preserve">this beneficial cycle of demand and supply is maintained independently of VAP, thus strengthening long-term sustainability and scale in relation to that broader theory of change. </w:t>
      </w:r>
    </w:p>
    <w:p w14:paraId="50B7D355" w14:textId="77777777" w:rsidR="00A0444C" w:rsidRPr="009B5A0E" w:rsidRDefault="00A0444C" w:rsidP="009901D9">
      <w:pPr>
        <w:jc w:val="both"/>
        <w:rPr>
          <w:rFonts w:ascii="Helvetica" w:eastAsiaTheme="minorHAnsi" w:hAnsi="Helvetica"/>
          <w:sz w:val="22"/>
          <w:szCs w:val="22"/>
          <w:lang w:val="en-US"/>
        </w:rPr>
      </w:pPr>
    </w:p>
    <w:p w14:paraId="467CCEDE" w14:textId="359A10BE" w:rsidR="001E277E" w:rsidRPr="005B7ECA" w:rsidRDefault="001E277E" w:rsidP="005B7ECA">
      <w:pPr>
        <w:jc w:val="both"/>
        <w:textAlignment w:val="baseline"/>
        <w:rPr>
          <w:rFonts w:asciiTheme="minorHAnsi" w:hAnsiTheme="minorHAnsi"/>
          <w:color w:val="000000"/>
          <w:sz w:val="22"/>
          <w:szCs w:val="22"/>
          <w:lang w:val="en-US"/>
        </w:rPr>
      </w:pPr>
      <w:r w:rsidRPr="009B5A0E">
        <w:rPr>
          <w:rFonts w:ascii="Helvetica" w:hAnsi="Helvetica"/>
          <w:color w:val="000000"/>
          <w:sz w:val="22"/>
          <w:szCs w:val="22"/>
        </w:rPr>
        <w:t xml:space="preserve">As outlined in Figure </w:t>
      </w:r>
      <w:r w:rsidR="00964BC5">
        <w:rPr>
          <w:rFonts w:ascii="Helvetica" w:hAnsi="Helvetica"/>
          <w:color w:val="000000"/>
          <w:sz w:val="22"/>
          <w:szCs w:val="22"/>
        </w:rPr>
        <w:t>2</w:t>
      </w:r>
      <w:r w:rsidRPr="009B5A0E">
        <w:rPr>
          <w:rFonts w:ascii="Helvetica" w:hAnsi="Helvetica"/>
          <w:color w:val="000000"/>
          <w:sz w:val="22"/>
          <w:szCs w:val="22"/>
        </w:rPr>
        <w:t xml:space="preserve"> below, the Exit Phase activities are structured to s</w:t>
      </w:r>
      <w:r w:rsidR="005B7ECA">
        <w:rPr>
          <w:rFonts w:ascii="Helvetica" w:hAnsi="Helvetica"/>
          <w:color w:val="000000"/>
          <w:sz w:val="22"/>
          <w:szCs w:val="22"/>
        </w:rPr>
        <w:t xml:space="preserve">upport core remaining needs.  </w:t>
      </w:r>
    </w:p>
    <w:p w14:paraId="3D18E26E" w14:textId="15C54E50" w:rsidR="001E277E" w:rsidRPr="009B5A0E" w:rsidRDefault="004E037E" w:rsidP="001E277E">
      <w:pPr>
        <w:keepNext/>
        <w:jc w:val="center"/>
        <w:textAlignment w:val="baseline"/>
        <w:rPr>
          <w:rFonts w:ascii="Helvetica" w:hAnsi="Helvetica"/>
          <w:sz w:val="22"/>
          <w:szCs w:val="22"/>
        </w:rPr>
      </w:pPr>
      <w:r w:rsidRPr="00626CED">
        <w:rPr>
          <w:rFonts w:ascii="Helvetica" w:hAnsi="Helvetica"/>
          <w:noProof/>
          <w:color w:val="000000"/>
          <w:sz w:val="22"/>
          <w:szCs w:val="22"/>
          <w:lang w:val="de-CH" w:eastAsia="de-CH"/>
        </w:rPr>
        <w:lastRenderedPageBreak/>
        <w:drawing>
          <wp:inline distT="0" distB="0" distL="0" distR="0" wp14:anchorId="4D5A1B25" wp14:editId="6B739130">
            <wp:extent cx="4904158" cy="3800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365" t="3253" r="21958"/>
                    <a:stretch/>
                  </pic:blipFill>
                  <pic:spPr bwMode="auto">
                    <a:xfrm>
                      <a:off x="0" y="0"/>
                      <a:ext cx="4933328" cy="3823081"/>
                    </a:xfrm>
                    <a:prstGeom prst="rect">
                      <a:avLst/>
                    </a:prstGeom>
                    <a:ln>
                      <a:noFill/>
                    </a:ln>
                    <a:extLst>
                      <a:ext uri="{53640926-AAD7-44D8-BBD7-CCE9431645EC}">
                        <a14:shadowObscured xmlns:a14="http://schemas.microsoft.com/office/drawing/2010/main"/>
                      </a:ext>
                    </a:extLst>
                  </pic:spPr>
                </pic:pic>
              </a:graphicData>
            </a:graphic>
          </wp:inline>
        </w:drawing>
      </w:r>
    </w:p>
    <w:p w14:paraId="7EB3703F" w14:textId="728126D5" w:rsidR="001E277E" w:rsidRPr="009B5A0E" w:rsidRDefault="001E277E" w:rsidP="001E277E">
      <w:pPr>
        <w:pStyle w:val="af1"/>
        <w:jc w:val="center"/>
        <w:rPr>
          <w:rFonts w:ascii="Helvetica" w:hAnsi="Helvetica"/>
          <w:i w:val="0"/>
          <w:iCs w:val="0"/>
          <w:color w:val="000000"/>
          <w:sz w:val="22"/>
          <w:szCs w:val="22"/>
        </w:rPr>
      </w:pPr>
      <w:r w:rsidRPr="009B5A0E">
        <w:rPr>
          <w:rFonts w:ascii="Helvetica" w:hAnsi="Helvetica"/>
          <w:i w:val="0"/>
          <w:iCs w:val="0"/>
          <w:sz w:val="22"/>
          <w:szCs w:val="22"/>
        </w:rPr>
        <w:t xml:space="preserve">Figure </w:t>
      </w:r>
      <w:r w:rsidR="00964BC5">
        <w:rPr>
          <w:rFonts w:ascii="Helvetica" w:hAnsi="Helvetica"/>
          <w:i w:val="0"/>
          <w:iCs w:val="0"/>
          <w:sz w:val="22"/>
          <w:szCs w:val="22"/>
        </w:rPr>
        <w:t>2</w:t>
      </w:r>
      <w:r w:rsidRPr="009B5A0E">
        <w:rPr>
          <w:rFonts w:ascii="Helvetica" w:hAnsi="Helvetica"/>
          <w:i w:val="0"/>
          <w:iCs w:val="0"/>
          <w:sz w:val="22"/>
          <w:szCs w:val="22"/>
        </w:rPr>
        <w:t>. Structure of the Exit Phase.</w:t>
      </w:r>
    </w:p>
    <w:p w14:paraId="54C773D2" w14:textId="402F8475" w:rsidR="00A0444C" w:rsidRPr="009B5A0E" w:rsidRDefault="003073E8" w:rsidP="000918D3">
      <w:pPr>
        <w:pStyle w:val="2"/>
        <w:tabs>
          <w:tab w:val="clear" w:pos="567"/>
        </w:tabs>
        <w:ind w:left="720"/>
        <w:rPr>
          <w:rFonts w:ascii="Helvetica" w:hAnsi="Helvetica"/>
        </w:rPr>
      </w:pPr>
      <w:bookmarkStart w:id="4" w:name="_Toc48896050"/>
      <w:r w:rsidRPr="009B5A0E">
        <w:rPr>
          <w:rFonts w:ascii="Helvetica" w:hAnsi="Helvetica"/>
        </w:rPr>
        <w:t xml:space="preserve">Outcome 1. </w:t>
      </w:r>
      <w:r w:rsidR="0020144A" w:rsidRPr="0020144A">
        <w:rPr>
          <w:rFonts w:ascii="Helvetica" w:hAnsi="Helvetica"/>
          <w:lang w:val="en"/>
        </w:rPr>
        <w:t>Capacity building system enabling LSGs is operational and sustainable</w:t>
      </w:r>
      <w:bookmarkEnd w:id="4"/>
    </w:p>
    <w:p w14:paraId="02B31C47" w14:textId="5FBBA31A" w:rsidR="00521B07" w:rsidRPr="009B5A0E" w:rsidRDefault="00A0444C" w:rsidP="00521B07">
      <w:pPr>
        <w:jc w:val="both"/>
        <w:textAlignment w:val="baseline"/>
        <w:rPr>
          <w:rFonts w:ascii="Helvetica" w:hAnsi="Helvetica"/>
          <w:color w:val="000000"/>
          <w:sz w:val="22"/>
          <w:szCs w:val="22"/>
          <w:lang w:val="en"/>
        </w:rPr>
      </w:pPr>
      <w:r w:rsidRPr="009B5A0E">
        <w:rPr>
          <w:rFonts w:ascii="Helvetica" w:hAnsi="Helvetica"/>
          <w:color w:val="000000"/>
          <w:sz w:val="22"/>
          <w:szCs w:val="22"/>
          <w:lang w:val="en"/>
        </w:rPr>
        <w:t xml:space="preserve">By the end of Exit Phase in </w:t>
      </w:r>
      <w:r w:rsidR="00942422">
        <w:rPr>
          <w:rFonts w:ascii="Helvetica" w:hAnsi="Helvetica"/>
          <w:color w:val="000000"/>
          <w:sz w:val="22"/>
          <w:szCs w:val="22"/>
          <w:lang w:val="en"/>
        </w:rPr>
        <w:t>March 2022</w:t>
      </w:r>
      <w:r w:rsidRPr="009B5A0E">
        <w:rPr>
          <w:rFonts w:ascii="Helvetica" w:hAnsi="Helvetica"/>
          <w:color w:val="000000"/>
          <w:sz w:val="22"/>
          <w:szCs w:val="22"/>
          <w:lang w:val="en"/>
        </w:rPr>
        <w:t xml:space="preserve">, the current ecosystem of individual and institutional capacity building resources and programs supporting competent, accountable and responsive LSG governance will have been significantly improved. </w:t>
      </w:r>
      <w:r w:rsidR="000B2669" w:rsidRPr="009B5A0E">
        <w:rPr>
          <w:rFonts w:ascii="Helvetica" w:hAnsi="Helvetica"/>
          <w:color w:val="000000"/>
          <w:sz w:val="22"/>
          <w:szCs w:val="22"/>
          <w:lang w:val="en"/>
        </w:rPr>
        <w:t>F</w:t>
      </w:r>
      <w:r w:rsidR="00344778">
        <w:rPr>
          <w:rFonts w:ascii="Helvetica" w:hAnsi="Helvetica"/>
          <w:color w:val="000000"/>
          <w:sz w:val="22"/>
          <w:szCs w:val="22"/>
          <w:lang w:val="en"/>
        </w:rPr>
        <w:t xml:space="preserve">igure </w:t>
      </w:r>
      <w:r w:rsidR="00964BC5">
        <w:rPr>
          <w:rFonts w:ascii="Helvetica" w:hAnsi="Helvetica"/>
          <w:color w:val="000000"/>
          <w:sz w:val="22"/>
          <w:szCs w:val="22"/>
          <w:lang w:val="en"/>
        </w:rPr>
        <w:t>3</w:t>
      </w:r>
      <w:r w:rsidR="000B2669" w:rsidRPr="009B5A0E">
        <w:rPr>
          <w:rFonts w:ascii="Helvetica" w:hAnsi="Helvetica"/>
          <w:color w:val="000000"/>
          <w:sz w:val="22"/>
          <w:szCs w:val="22"/>
          <w:lang w:val="en"/>
        </w:rPr>
        <w:t xml:space="preserve"> below provides a visual summary of this ecosystem. </w:t>
      </w:r>
    </w:p>
    <w:p w14:paraId="2C50933B" w14:textId="77777777" w:rsidR="000B2669" w:rsidRPr="009B5A0E" w:rsidRDefault="000B2669" w:rsidP="00521B07">
      <w:pPr>
        <w:jc w:val="both"/>
        <w:textAlignment w:val="baseline"/>
        <w:rPr>
          <w:rFonts w:ascii="Helvetica" w:hAnsi="Helvetica"/>
          <w:color w:val="000000"/>
          <w:sz w:val="22"/>
          <w:szCs w:val="22"/>
          <w:lang w:val="en"/>
        </w:rPr>
      </w:pPr>
    </w:p>
    <w:p w14:paraId="2A2D0432" w14:textId="77777777" w:rsidR="000B2669" w:rsidRPr="009B5A0E" w:rsidRDefault="000B2669" w:rsidP="00DE1B1E">
      <w:pPr>
        <w:keepNext/>
        <w:jc w:val="center"/>
        <w:rPr>
          <w:rFonts w:ascii="Helvetica" w:hAnsi="Helvetica"/>
        </w:rPr>
      </w:pPr>
      <w:r w:rsidRPr="009B5A0E">
        <w:rPr>
          <w:rFonts w:ascii="Helvetica" w:eastAsiaTheme="minorHAnsi" w:hAnsi="Helvetica"/>
          <w:noProof/>
          <w:sz w:val="22"/>
          <w:szCs w:val="22"/>
          <w:lang w:val="de-CH" w:eastAsia="de-CH"/>
        </w:rPr>
        <w:drawing>
          <wp:inline distT="0" distB="0" distL="0" distR="0" wp14:anchorId="7542A138" wp14:editId="182FD1AA">
            <wp:extent cx="3656848" cy="3219104"/>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8341" t="9150" r="23608"/>
                    <a:stretch/>
                  </pic:blipFill>
                  <pic:spPr bwMode="auto">
                    <a:xfrm>
                      <a:off x="0" y="0"/>
                      <a:ext cx="3657503" cy="3219681"/>
                    </a:xfrm>
                    <a:prstGeom prst="rect">
                      <a:avLst/>
                    </a:prstGeom>
                    <a:ln>
                      <a:noFill/>
                    </a:ln>
                    <a:extLst>
                      <a:ext uri="{53640926-AAD7-44D8-BBD7-CCE9431645EC}">
                        <a14:shadowObscured xmlns:a14="http://schemas.microsoft.com/office/drawing/2010/main"/>
                      </a:ext>
                    </a:extLst>
                  </pic:spPr>
                </pic:pic>
              </a:graphicData>
            </a:graphic>
          </wp:inline>
        </w:drawing>
      </w:r>
    </w:p>
    <w:p w14:paraId="1C06C0C4" w14:textId="3C6D01AD" w:rsidR="000B2669" w:rsidRPr="009B5A0E" w:rsidRDefault="000B2669" w:rsidP="00DE1B1E">
      <w:pPr>
        <w:pStyle w:val="af1"/>
        <w:jc w:val="center"/>
        <w:rPr>
          <w:rFonts w:ascii="Helvetica" w:eastAsiaTheme="minorHAnsi" w:hAnsi="Helvetica"/>
          <w:sz w:val="22"/>
          <w:szCs w:val="22"/>
          <w:lang w:val="en-US"/>
        </w:rPr>
      </w:pPr>
      <w:r w:rsidRPr="009B5A0E">
        <w:rPr>
          <w:rFonts w:ascii="Helvetica" w:hAnsi="Helvetica"/>
        </w:rPr>
        <w:t xml:space="preserve">Figure </w:t>
      </w:r>
      <w:r w:rsidR="00964BC5">
        <w:rPr>
          <w:rFonts w:ascii="Helvetica" w:hAnsi="Helvetica"/>
        </w:rPr>
        <w:t>3</w:t>
      </w:r>
      <w:r w:rsidRPr="009B5A0E">
        <w:rPr>
          <w:rFonts w:ascii="Helvetica" w:hAnsi="Helvetica"/>
        </w:rPr>
        <w:t>. Institutionalizing capacity development systems for LSGs.</w:t>
      </w:r>
    </w:p>
    <w:p w14:paraId="4A1DE76F" w14:textId="77777777" w:rsidR="000B2669" w:rsidRPr="009B5A0E" w:rsidRDefault="000B2669" w:rsidP="00521B07">
      <w:pPr>
        <w:jc w:val="both"/>
        <w:textAlignment w:val="baseline"/>
        <w:rPr>
          <w:rFonts w:ascii="Helvetica" w:hAnsi="Helvetica"/>
          <w:color w:val="000000"/>
          <w:sz w:val="22"/>
          <w:szCs w:val="22"/>
          <w:lang w:val="en"/>
        </w:rPr>
      </w:pPr>
    </w:p>
    <w:p w14:paraId="74571150" w14:textId="0E162F50" w:rsidR="000867CB" w:rsidRPr="009B5A0E" w:rsidRDefault="003073E8" w:rsidP="009901D9">
      <w:pPr>
        <w:jc w:val="both"/>
        <w:textAlignment w:val="baseline"/>
        <w:rPr>
          <w:rFonts w:ascii="Helvetica" w:hAnsi="Helvetica"/>
          <w:b/>
          <w:bCs/>
          <w:i/>
          <w:iCs/>
          <w:sz w:val="22"/>
          <w:szCs w:val="22"/>
          <w:lang w:val="en"/>
        </w:rPr>
      </w:pPr>
      <w:r w:rsidRPr="009B5A0E">
        <w:rPr>
          <w:rFonts w:ascii="Helvetica" w:hAnsi="Helvetica"/>
          <w:b/>
          <w:bCs/>
          <w:i/>
          <w:iCs/>
          <w:sz w:val="22"/>
          <w:szCs w:val="22"/>
        </w:rPr>
        <w:t>Output 1.</w:t>
      </w:r>
      <w:r w:rsidR="002C0C00" w:rsidRPr="009B5A0E">
        <w:rPr>
          <w:rFonts w:ascii="Helvetica" w:hAnsi="Helvetica"/>
          <w:b/>
          <w:bCs/>
          <w:i/>
          <w:iCs/>
          <w:sz w:val="22"/>
          <w:szCs w:val="22"/>
        </w:rPr>
        <w:t>1</w:t>
      </w:r>
      <w:r w:rsidRPr="009B5A0E">
        <w:rPr>
          <w:rFonts w:ascii="Helvetica" w:hAnsi="Helvetica"/>
          <w:b/>
          <w:bCs/>
          <w:i/>
          <w:iCs/>
          <w:sz w:val="22"/>
          <w:szCs w:val="22"/>
        </w:rPr>
        <w:t xml:space="preserve"> </w:t>
      </w:r>
      <w:r w:rsidR="0020144A" w:rsidRPr="0020144A">
        <w:rPr>
          <w:rFonts w:ascii="Helvetica" w:hAnsi="Helvetica"/>
          <w:b/>
          <w:bCs/>
          <w:i/>
          <w:iCs/>
          <w:sz w:val="22"/>
          <w:szCs w:val="22"/>
          <w:lang w:val="en"/>
        </w:rPr>
        <w:t>The ULSG, SALSGIR and DPI provide institutionalized access to best practices, knowledge/experience sharing and capacity building trainings by/among municipalities and local communities</w:t>
      </w:r>
    </w:p>
    <w:p w14:paraId="4B4019C8" w14:textId="77777777" w:rsidR="009901D9" w:rsidRPr="009B5A0E" w:rsidRDefault="009901D9" w:rsidP="009901D9">
      <w:pPr>
        <w:jc w:val="both"/>
        <w:textAlignment w:val="baseline"/>
        <w:rPr>
          <w:rFonts w:ascii="Helvetica" w:hAnsi="Helvetica"/>
          <w:sz w:val="22"/>
          <w:szCs w:val="22"/>
          <w:lang w:val="en"/>
        </w:rPr>
      </w:pPr>
    </w:p>
    <w:p w14:paraId="7529E0E6" w14:textId="77777777" w:rsidR="00591F8C" w:rsidRDefault="009901D9" w:rsidP="009901D9">
      <w:pPr>
        <w:jc w:val="both"/>
        <w:textAlignment w:val="baseline"/>
        <w:rPr>
          <w:rFonts w:ascii="Helvetica" w:hAnsi="Helvetica"/>
          <w:sz w:val="22"/>
          <w:szCs w:val="22"/>
          <w:lang w:val="en"/>
        </w:rPr>
      </w:pPr>
      <w:r w:rsidRPr="009B5A0E">
        <w:rPr>
          <w:rFonts w:ascii="Helvetica" w:hAnsi="Helvetica"/>
          <w:sz w:val="22"/>
          <w:szCs w:val="22"/>
          <w:lang w:val="en"/>
        </w:rPr>
        <w:t xml:space="preserve">Under this output, VAP </w:t>
      </w:r>
      <w:r w:rsidR="002C0C00" w:rsidRPr="009B5A0E">
        <w:rPr>
          <w:rFonts w:ascii="Helvetica" w:hAnsi="Helvetica"/>
          <w:sz w:val="22"/>
          <w:szCs w:val="22"/>
          <w:lang w:val="en"/>
        </w:rPr>
        <w:t xml:space="preserve">seeks to institutionalize the capacity-focused programmatic outcomes of the previous phases, related to knowledge development and dissemination and network building. For this end, VAP </w:t>
      </w:r>
      <w:r w:rsidRPr="009B5A0E">
        <w:rPr>
          <w:rFonts w:ascii="Helvetica" w:hAnsi="Helvetica"/>
          <w:sz w:val="22"/>
          <w:szCs w:val="22"/>
          <w:lang w:val="en"/>
        </w:rPr>
        <w:t>will</w:t>
      </w:r>
      <w:r w:rsidR="0065455E" w:rsidRPr="009B5A0E">
        <w:rPr>
          <w:rFonts w:ascii="Helvetica" w:hAnsi="Helvetica"/>
          <w:sz w:val="22"/>
          <w:szCs w:val="22"/>
          <w:lang w:val="en"/>
        </w:rPr>
        <w:t xml:space="preserve"> </w:t>
      </w:r>
      <w:r w:rsidR="00591F8C">
        <w:rPr>
          <w:rFonts w:ascii="Helvetica" w:hAnsi="Helvetica"/>
          <w:sz w:val="22"/>
          <w:szCs w:val="22"/>
          <w:lang w:val="en"/>
        </w:rPr>
        <w:t xml:space="preserve">extend and </w:t>
      </w:r>
      <w:r w:rsidR="0065455E" w:rsidRPr="009B5A0E">
        <w:rPr>
          <w:rFonts w:ascii="Helvetica" w:hAnsi="Helvetica"/>
          <w:sz w:val="22"/>
          <w:szCs w:val="22"/>
          <w:lang w:val="en"/>
        </w:rPr>
        <w:t>facilitate a</w:t>
      </w:r>
      <w:r w:rsidR="00591F8C">
        <w:rPr>
          <w:rFonts w:ascii="Helvetica" w:hAnsi="Helvetica"/>
          <w:sz w:val="22"/>
          <w:szCs w:val="22"/>
          <w:lang w:val="en"/>
        </w:rPr>
        <w:t>n existing</w:t>
      </w:r>
      <w:r w:rsidR="0065455E" w:rsidRPr="009B5A0E">
        <w:rPr>
          <w:rFonts w:ascii="Helvetica" w:hAnsi="Helvetica"/>
          <w:sz w:val="22"/>
          <w:szCs w:val="22"/>
          <w:lang w:val="en"/>
        </w:rPr>
        <w:t xml:space="preserve"> tri-partite</w:t>
      </w:r>
      <w:r w:rsidR="000B2669" w:rsidRPr="009B5A0E">
        <w:rPr>
          <w:rFonts w:ascii="Helvetica" w:hAnsi="Helvetica"/>
          <w:sz w:val="22"/>
          <w:szCs w:val="22"/>
          <w:lang w:val="en"/>
        </w:rPr>
        <w:t xml:space="preserve"> partnership</w:t>
      </w:r>
      <w:r w:rsidR="0065455E" w:rsidRPr="009B5A0E">
        <w:rPr>
          <w:rFonts w:ascii="Helvetica" w:hAnsi="Helvetica"/>
          <w:sz w:val="22"/>
          <w:szCs w:val="22"/>
          <w:lang w:val="en"/>
        </w:rPr>
        <w:t xml:space="preserve"> agreement among the Development Policy Institute, Union of LSGs and State Agency for Local Self-Governance and Interethnic Relations,</w:t>
      </w:r>
      <w:r w:rsidR="00591F8C">
        <w:rPr>
          <w:rFonts w:ascii="Helvetica" w:hAnsi="Helvetica"/>
          <w:sz w:val="22"/>
          <w:szCs w:val="22"/>
          <w:lang w:val="en"/>
        </w:rPr>
        <w:t xml:space="preserve"> which will now be centered on</w:t>
      </w:r>
      <w:r w:rsidR="0065455E" w:rsidRPr="009B5A0E">
        <w:rPr>
          <w:rFonts w:ascii="Helvetica" w:hAnsi="Helvetica"/>
          <w:sz w:val="22"/>
          <w:szCs w:val="22"/>
          <w:lang w:val="en"/>
        </w:rPr>
        <w:t xml:space="preserve"> </w:t>
      </w:r>
      <w:r w:rsidR="00EF7315" w:rsidRPr="009B5A0E">
        <w:rPr>
          <w:rFonts w:ascii="Helvetica" w:hAnsi="Helvetica"/>
          <w:sz w:val="22"/>
          <w:szCs w:val="22"/>
          <w:lang w:val="en"/>
        </w:rPr>
        <w:t>establish</w:t>
      </w:r>
      <w:r w:rsidR="00591F8C">
        <w:rPr>
          <w:rFonts w:ascii="Helvetica" w:hAnsi="Helvetica"/>
          <w:sz w:val="22"/>
          <w:szCs w:val="22"/>
          <w:lang w:val="en"/>
        </w:rPr>
        <w:t>ing</w:t>
      </w:r>
      <w:r w:rsidRPr="009B5A0E">
        <w:rPr>
          <w:rFonts w:ascii="Helvetica" w:hAnsi="Helvetica"/>
          <w:sz w:val="22"/>
          <w:szCs w:val="22"/>
          <w:lang w:val="en"/>
        </w:rPr>
        <w:t xml:space="preserve"> a</w:t>
      </w:r>
      <w:r w:rsidR="000B2669" w:rsidRPr="009B5A0E">
        <w:rPr>
          <w:rFonts w:ascii="Helvetica" w:hAnsi="Helvetica"/>
          <w:sz w:val="22"/>
          <w:szCs w:val="22"/>
          <w:lang w:val="en"/>
        </w:rPr>
        <w:t xml:space="preserve"> Portal of Best Practice</w:t>
      </w:r>
      <w:r w:rsidR="001521D0" w:rsidRPr="009B5A0E">
        <w:rPr>
          <w:rFonts w:ascii="Helvetica" w:hAnsi="Helvetica"/>
          <w:sz w:val="22"/>
          <w:szCs w:val="22"/>
          <w:lang w:val="en"/>
        </w:rPr>
        <w:t>.</w:t>
      </w:r>
      <w:r w:rsidR="000B2669" w:rsidRPr="009B5A0E">
        <w:rPr>
          <w:rFonts w:ascii="Helvetica" w:hAnsi="Helvetica"/>
          <w:sz w:val="22"/>
          <w:szCs w:val="22"/>
          <w:lang w:val="en"/>
        </w:rPr>
        <w:t xml:space="preserve"> </w:t>
      </w:r>
      <w:r w:rsidR="00591F8C">
        <w:rPr>
          <w:rFonts w:ascii="Helvetica" w:hAnsi="Helvetica"/>
          <w:sz w:val="22"/>
          <w:szCs w:val="22"/>
          <w:lang w:val="en"/>
        </w:rPr>
        <w:t>As of June 2020, this represents an ongoing workstream in which SALSGIR created a working group supporting the Portal’s development.</w:t>
      </w:r>
    </w:p>
    <w:p w14:paraId="62A5D030" w14:textId="77777777" w:rsidR="00591F8C" w:rsidRDefault="00591F8C" w:rsidP="009901D9">
      <w:pPr>
        <w:jc w:val="both"/>
        <w:textAlignment w:val="baseline"/>
        <w:rPr>
          <w:rFonts w:ascii="Helvetica" w:hAnsi="Helvetica"/>
          <w:sz w:val="22"/>
          <w:szCs w:val="22"/>
          <w:lang w:val="en"/>
        </w:rPr>
      </w:pPr>
    </w:p>
    <w:p w14:paraId="0E30AC5D" w14:textId="77777777" w:rsidR="0065455E" w:rsidRPr="009B5A0E" w:rsidRDefault="001521D0" w:rsidP="009901D9">
      <w:pPr>
        <w:jc w:val="both"/>
        <w:textAlignment w:val="baseline"/>
        <w:rPr>
          <w:rFonts w:ascii="Helvetica" w:hAnsi="Helvetica"/>
          <w:sz w:val="22"/>
          <w:szCs w:val="22"/>
          <w:lang w:val="en"/>
        </w:rPr>
      </w:pPr>
      <w:r w:rsidRPr="009B5A0E">
        <w:rPr>
          <w:rFonts w:ascii="Helvetica" w:hAnsi="Helvetica"/>
          <w:sz w:val="22"/>
          <w:szCs w:val="22"/>
          <w:lang w:val="en"/>
        </w:rPr>
        <w:t>A</w:t>
      </w:r>
      <w:r w:rsidR="000B2669" w:rsidRPr="009B5A0E">
        <w:rPr>
          <w:rFonts w:ascii="Helvetica" w:hAnsi="Helvetica"/>
          <w:sz w:val="22"/>
          <w:szCs w:val="22"/>
          <w:lang w:val="en"/>
        </w:rPr>
        <w:t xml:space="preserve">cting as </w:t>
      </w:r>
      <w:r w:rsidRPr="009B5A0E">
        <w:rPr>
          <w:rFonts w:ascii="Helvetica" w:hAnsi="Helvetica"/>
          <w:sz w:val="22"/>
          <w:szCs w:val="22"/>
        </w:rPr>
        <w:t>an antecedent of a</w:t>
      </w:r>
      <w:r w:rsidR="000B2669" w:rsidRPr="009B5A0E">
        <w:rPr>
          <w:rFonts w:ascii="Helvetica" w:hAnsi="Helvetica"/>
          <w:sz w:val="22"/>
          <w:szCs w:val="22"/>
          <w:lang w:val="en"/>
        </w:rPr>
        <w:t xml:space="preserve"> methodological and knowledge-based center of </w:t>
      </w:r>
      <w:r w:rsidR="00906587" w:rsidRPr="009B5A0E">
        <w:rPr>
          <w:rFonts w:ascii="Helvetica" w:hAnsi="Helvetica"/>
          <w:sz w:val="22"/>
          <w:szCs w:val="22"/>
          <w:lang w:val="en"/>
        </w:rPr>
        <w:t>excellence for</w:t>
      </w:r>
      <w:r w:rsidR="009901D9" w:rsidRPr="009B5A0E">
        <w:rPr>
          <w:rFonts w:ascii="Helvetica" w:hAnsi="Helvetica"/>
          <w:sz w:val="22"/>
          <w:szCs w:val="22"/>
          <w:lang w:val="en"/>
        </w:rPr>
        <w:t xml:space="preserve"> municipal</w:t>
      </w:r>
      <w:r w:rsidR="0065455E" w:rsidRPr="009B5A0E">
        <w:rPr>
          <w:rFonts w:ascii="Helvetica" w:hAnsi="Helvetica"/>
          <w:sz w:val="22"/>
          <w:szCs w:val="22"/>
          <w:lang w:val="en"/>
        </w:rPr>
        <w:t xml:space="preserve"> servants</w:t>
      </w:r>
      <w:r w:rsidRPr="009B5A0E">
        <w:rPr>
          <w:rFonts w:ascii="Helvetica" w:hAnsi="Helvetica"/>
          <w:sz w:val="22"/>
          <w:szCs w:val="22"/>
          <w:lang w:val="en"/>
        </w:rPr>
        <w:t>,</w:t>
      </w:r>
      <w:r w:rsidR="0065455E" w:rsidRPr="009B5A0E">
        <w:rPr>
          <w:rFonts w:ascii="Helvetica" w:hAnsi="Helvetica"/>
          <w:sz w:val="22"/>
          <w:szCs w:val="22"/>
          <w:lang w:val="en"/>
        </w:rPr>
        <w:t xml:space="preserve"> </w:t>
      </w:r>
      <w:r w:rsidRPr="009B5A0E">
        <w:rPr>
          <w:rFonts w:ascii="Helvetica" w:hAnsi="Helvetica"/>
          <w:sz w:val="22"/>
          <w:szCs w:val="22"/>
          <w:lang w:val="en"/>
        </w:rPr>
        <w:t>t</w:t>
      </w:r>
      <w:r w:rsidR="0065455E" w:rsidRPr="009B5A0E">
        <w:rPr>
          <w:rFonts w:ascii="Helvetica" w:hAnsi="Helvetica"/>
          <w:sz w:val="22"/>
          <w:szCs w:val="22"/>
          <w:lang w:val="en"/>
        </w:rPr>
        <w:t>his entity will serve as a primary resource curating, organizing and unlocking access to a large body of knowledge, expertise, skills and professional development opportunities. The Portal of Best Practices (PBP) will provide multi-format services</w:t>
      </w:r>
      <w:r w:rsidR="00166EC3" w:rsidRPr="009B5A0E">
        <w:rPr>
          <w:rFonts w:ascii="Helvetica" w:hAnsi="Helvetica"/>
          <w:sz w:val="22"/>
          <w:szCs w:val="22"/>
          <w:lang w:val="en"/>
        </w:rPr>
        <w:t>, envisioned as a major part of the ULSG’s educational and capacity building function, under its organizational strategy.</w:t>
      </w:r>
      <w:r w:rsidR="0065455E" w:rsidRPr="009B5A0E">
        <w:rPr>
          <w:rFonts w:ascii="Helvetica" w:hAnsi="Helvetica"/>
          <w:sz w:val="22"/>
          <w:szCs w:val="22"/>
          <w:lang w:val="en"/>
        </w:rPr>
        <w:t xml:space="preserve"> </w:t>
      </w:r>
      <w:r w:rsidR="000B2669" w:rsidRPr="009B5A0E">
        <w:rPr>
          <w:rFonts w:ascii="Helvetica" w:hAnsi="Helvetica"/>
          <w:sz w:val="22"/>
          <w:szCs w:val="22"/>
          <w:lang w:val="en"/>
        </w:rPr>
        <w:t>It will also closely integrate the Municipality magazine as a publication firmly embedded in the community of municipal servants.</w:t>
      </w:r>
    </w:p>
    <w:p w14:paraId="7C5126FA" w14:textId="77777777" w:rsidR="00166EC3" w:rsidRPr="009B5A0E" w:rsidRDefault="00166EC3" w:rsidP="00166EC3">
      <w:pPr>
        <w:jc w:val="both"/>
        <w:textAlignment w:val="baseline"/>
        <w:rPr>
          <w:rFonts w:ascii="Helvetica" w:hAnsi="Helvetica"/>
          <w:sz w:val="22"/>
          <w:szCs w:val="22"/>
          <w:lang w:val="en"/>
        </w:rPr>
      </w:pPr>
    </w:p>
    <w:p w14:paraId="505131B1" w14:textId="3ADF73E3" w:rsidR="001521D0" w:rsidRPr="009B5A0E" w:rsidRDefault="0065455E" w:rsidP="001521D0">
      <w:pPr>
        <w:jc w:val="both"/>
        <w:textAlignment w:val="baseline"/>
        <w:rPr>
          <w:rFonts w:ascii="Helvetica" w:hAnsi="Helvetica"/>
          <w:sz w:val="22"/>
          <w:szCs w:val="22"/>
          <w:lang w:val="en"/>
        </w:rPr>
      </w:pPr>
      <w:r w:rsidRPr="009B5A0E">
        <w:rPr>
          <w:rFonts w:ascii="Helvetica" w:hAnsi="Helvetica"/>
          <w:sz w:val="22"/>
          <w:szCs w:val="22"/>
          <w:lang w:val="en"/>
        </w:rPr>
        <w:t>A</w:t>
      </w:r>
      <w:r w:rsidR="00166EC3" w:rsidRPr="009B5A0E">
        <w:rPr>
          <w:rFonts w:ascii="Helvetica" w:hAnsi="Helvetica"/>
          <w:sz w:val="22"/>
          <w:szCs w:val="22"/>
          <w:lang w:val="en"/>
        </w:rPr>
        <w:t>s a</w:t>
      </w:r>
      <w:r w:rsidRPr="009B5A0E">
        <w:rPr>
          <w:rFonts w:ascii="Helvetica" w:hAnsi="Helvetica"/>
          <w:sz w:val="22"/>
          <w:szCs w:val="22"/>
          <w:lang w:val="en"/>
        </w:rPr>
        <w:t xml:space="preserve"> digital web-portal, jointly managed by the three partners (ULSG</w:t>
      </w:r>
      <w:r w:rsidR="00381CA8" w:rsidRPr="009B5A0E">
        <w:rPr>
          <w:rFonts w:ascii="Helvetica" w:hAnsi="Helvetica"/>
          <w:sz w:val="22"/>
          <w:szCs w:val="22"/>
          <w:lang w:val="en"/>
        </w:rPr>
        <w:t xml:space="preserve">, SALSGIR and DPI), </w:t>
      </w:r>
      <w:r w:rsidR="00166EC3" w:rsidRPr="009B5A0E">
        <w:rPr>
          <w:rFonts w:ascii="Helvetica" w:hAnsi="Helvetica"/>
          <w:sz w:val="22"/>
          <w:szCs w:val="22"/>
          <w:lang w:val="en"/>
        </w:rPr>
        <w:t>PBP will serve as</w:t>
      </w:r>
      <w:r w:rsidR="00EF7315" w:rsidRPr="009B5A0E">
        <w:rPr>
          <w:rFonts w:ascii="Helvetica" w:hAnsi="Helvetica"/>
          <w:sz w:val="22"/>
          <w:szCs w:val="22"/>
          <w:lang w:val="en"/>
        </w:rPr>
        <w:t xml:space="preserve"> </w:t>
      </w:r>
      <w:r w:rsidR="00166EC3" w:rsidRPr="009B5A0E">
        <w:rPr>
          <w:rFonts w:ascii="Helvetica" w:hAnsi="Helvetica"/>
          <w:sz w:val="22"/>
          <w:szCs w:val="22"/>
          <w:lang w:val="en"/>
        </w:rPr>
        <w:t xml:space="preserve">an </w:t>
      </w:r>
      <w:r w:rsidR="00EF7315" w:rsidRPr="009B5A0E">
        <w:rPr>
          <w:rFonts w:ascii="Helvetica" w:hAnsi="Helvetica"/>
          <w:sz w:val="22"/>
          <w:szCs w:val="22"/>
          <w:lang w:val="en"/>
        </w:rPr>
        <w:t>access</w:t>
      </w:r>
      <w:r w:rsidR="00166EC3" w:rsidRPr="009B5A0E">
        <w:rPr>
          <w:rFonts w:ascii="Helvetica" w:hAnsi="Helvetica"/>
          <w:sz w:val="22"/>
          <w:szCs w:val="22"/>
          <w:lang w:val="en"/>
        </w:rPr>
        <w:t xml:space="preserve"> point</w:t>
      </w:r>
      <w:r w:rsidR="00EF7315" w:rsidRPr="009B5A0E">
        <w:rPr>
          <w:rFonts w:ascii="Helvetica" w:hAnsi="Helvetica"/>
          <w:sz w:val="22"/>
          <w:szCs w:val="22"/>
          <w:lang w:val="en"/>
        </w:rPr>
        <w:t xml:space="preserve"> to practical resources for LSG management</w:t>
      </w:r>
      <w:r w:rsidR="00166EC3" w:rsidRPr="009B5A0E">
        <w:rPr>
          <w:rFonts w:ascii="Helvetica" w:hAnsi="Helvetica"/>
          <w:sz w:val="22"/>
          <w:szCs w:val="22"/>
          <w:lang w:val="en"/>
        </w:rPr>
        <w:t xml:space="preserve"> for all LSGs, their staff and other stakeholders with interest in municipal governance. The Portal will provide an extensive</w:t>
      </w:r>
      <w:r w:rsidR="00520652" w:rsidRPr="009B5A0E">
        <w:rPr>
          <w:rFonts w:ascii="Helvetica" w:hAnsi="Helvetica"/>
          <w:sz w:val="22"/>
          <w:szCs w:val="22"/>
          <w:lang w:val="en"/>
        </w:rPr>
        <w:t xml:space="preserve">, </w:t>
      </w:r>
      <w:r w:rsidR="001521D0" w:rsidRPr="009B5A0E">
        <w:rPr>
          <w:rFonts w:ascii="Helvetica" w:hAnsi="Helvetica"/>
          <w:sz w:val="22"/>
          <w:szCs w:val="22"/>
          <w:lang w:val="en"/>
        </w:rPr>
        <w:t>customized</w:t>
      </w:r>
      <w:r w:rsidR="00520652" w:rsidRPr="009B5A0E">
        <w:rPr>
          <w:rFonts w:ascii="Helvetica" w:hAnsi="Helvetica"/>
          <w:sz w:val="22"/>
          <w:szCs w:val="22"/>
          <w:lang w:val="en"/>
        </w:rPr>
        <w:t xml:space="preserve"> and well-maintained</w:t>
      </w:r>
      <w:r w:rsidR="00166EC3" w:rsidRPr="009B5A0E">
        <w:rPr>
          <w:rFonts w:ascii="Helvetica" w:hAnsi="Helvetica"/>
          <w:sz w:val="22"/>
          <w:szCs w:val="22"/>
          <w:lang w:val="en"/>
        </w:rPr>
        <w:t xml:space="preserve"> collection of locally relevant reference materials</w:t>
      </w:r>
      <w:r w:rsidR="00EF7315" w:rsidRPr="009B5A0E">
        <w:rPr>
          <w:rFonts w:ascii="Helvetica" w:hAnsi="Helvetica"/>
          <w:sz w:val="22"/>
          <w:szCs w:val="22"/>
          <w:lang w:val="en"/>
        </w:rPr>
        <w:t xml:space="preserve"> in all key aspects of efficient LSG</w:t>
      </w:r>
      <w:r w:rsidR="00551B4C" w:rsidRPr="009B5A0E">
        <w:rPr>
          <w:rFonts w:ascii="Helvetica" w:hAnsi="Helvetica"/>
          <w:sz w:val="22"/>
          <w:szCs w:val="22"/>
          <w:lang w:val="en"/>
        </w:rPr>
        <w:t xml:space="preserve"> governance, organized into 10 different themes, from </w:t>
      </w:r>
      <w:r w:rsidR="00166EC3" w:rsidRPr="009B5A0E">
        <w:rPr>
          <w:rFonts w:ascii="Helvetica" w:hAnsi="Helvetica"/>
          <w:sz w:val="22"/>
          <w:szCs w:val="22"/>
          <w:lang w:val="en"/>
        </w:rPr>
        <w:t xml:space="preserve">communications through </w:t>
      </w:r>
      <w:r w:rsidR="00551B4C" w:rsidRPr="009B5A0E">
        <w:rPr>
          <w:rFonts w:ascii="Helvetica" w:hAnsi="Helvetica"/>
          <w:sz w:val="22"/>
          <w:szCs w:val="22"/>
          <w:lang w:val="en"/>
        </w:rPr>
        <w:t>utilities to budget planning</w:t>
      </w:r>
      <w:r w:rsidR="00166EC3" w:rsidRPr="009B5A0E">
        <w:rPr>
          <w:rFonts w:ascii="Helvetica" w:hAnsi="Helvetica"/>
          <w:sz w:val="22"/>
          <w:szCs w:val="22"/>
          <w:lang w:val="en"/>
        </w:rPr>
        <w:t xml:space="preserve">. It will also offer </w:t>
      </w:r>
      <w:r w:rsidR="002C0C00" w:rsidRPr="009B5A0E">
        <w:rPr>
          <w:rFonts w:ascii="Helvetica" w:hAnsi="Helvetica"/>
          <w:sz w:val="22"/>
          <w:szCs w:val="22"/>
          <w:lang w:val="en"/>
        </w:rPr>
        <w:t>a selection</w:t>
      </w:r>
      <w:r w:rsidR="00EF7315" w:rsidRPr="009B5A0E">
        <w:rPr>
          <w:rFonts w:ascii="Helvetica" w:hAnsi="Helvetica"/>
          <w:sz w:val="22"/>
          <w:szCs w:val="22"/>
          <w:lang w:val="en"/>
        </w:rPr>
        <w:t xml:space="preserve"> of learning materials, consolidating not only the VAP-provided materials but also the materials from various municipal development projects</w:t>
      </w:r>
      <w:r w:rsidR="00166EC3" w:rsidRPr="009B5A0E">
        <w:rPr>
          <w:rFonts w:ascii="Helvetica" w:hAnsi="Helvetica"/>
          <w:sz w:val="22"/>
          <w:szCs w:val="22"/>
          <w:lang w:val="en"/>
        </w:rPr>
        <w:t>.</w:t>
      </w:r>
      <w:r w:rsidR="00B93806">
        <w:rPr>
          <w:rFonts w:ascii="Helvetica" w:hAnsi="Helvetica"/>
          <w:sz w:val="22"/>
          <w:szCs w:val="22"/>
          <w:lang w:val="en"/>
        </w:rPr>
        <w:t xml:space="preserve"> </w:t>
      </w:r>
      <w:r w:rsidR="00B93806" w:rsidRPr="0020144A">
        <w:rPr>
          <w:rFonts w:ascii="Helvetica" w:hAnsi="Helvetica"/>
          <w:sz w:val="22"/>
          <w:szCs w:val="22"/>
          <w:lang w:val="en"/>
        </w:rPr>
        <w:t xml:space="preserve">Recognizing the role of the local council deputies, the project will make available a dedicated set of resources on the Portal for this audience with uniquely different needs. </w:t>
      </w:r>
      <w:r w:rsidR="001521D0" w:rsidRPr="0020144A">
        <w:rPr>
          <w:rFonts w:ascii="Helvetica" w:hAnsi="Helvetica"/>
          <w:sz w:val="22"/>
          <w:szCs w:val="22"/>
          <w:lang w:val="en"/>
        </w:rPr>
        <w:t xml:space="preserve">VAP will engage the Ministry of Finance to coordinate and collaborate under this output, especially in relation </w:t>
      </w:r>
      <w:r w:rsidR="001521D0" w:rsidRPr="009B5A0E">
        <w:rPr>
          <w:rFonts w:ascii="Helvetica" w:hAnsi="Helvetica"/>
          <w:sz w:val="22"/>
          <w:szCs w:val="22"/>
          <w:lang w:val="en"/>
        </w:rPr>
        <w:t xml:space="preserve">to the online training center. </w:t>
      </w:r>
    </w:p>
    <w:p w14:paraId="55EC2A4B" w14:textId="77777777" w:rsidR="000C5B09" w:rsidRPr="009B5A0E" w:rsidRDefault="000C5B09" w:rsidP="002C0C00">
      <w:pPr>
        <w:jc w:val="both"/>
        <w:textAlignment w:val="baseline"/>
        <w:rPr>
          <w:rFonts w:ascii="Helvetica" w:hAnsi="Helvetica"/>
          <w:sz w:val="22"/>
          <w:szCs w:val="22"/>
          <w:lang w:val="en"/>
        </w:rPr>
      </w:pPr>
    </w:p>
    <w:p w14:paraId="601F54AA" w14:textId="6CC3FC74" w:rsidR="00551B4C" w:rsidRPr="0020144A" w:rsidRDefault="001521D0" w:rsidP="002C0C00">
      <w:pPr>
        <w:jc w:val="both"/>
        <w:textAlignment w:val="baseline"/>
        <w:rPr>
          <w:rFonts w:ascii="Helvetica" w:hAnsi="Helvetica"/>
          <w:sz w:val="22"/>
          <w:szCs w:val="22"/>
          <w:lang w:val="en"/>
        </w:rPr>
      </w:pPr>
      <w:r w:rsidRPr="009B5A0E">
        <w:rPr>
          <w:rFonts w:ascii="Helvetica" w:hAnsi="Helvetica"/>
          <w:sz w:val="22"/>
          <w:szCs w:val="22"/>
          <w:lang w:val="en"/>
        </w:rPr>
        <w:t>In addition, t</w:t>
      </w:r>
      <w:r w:rsidR="00166EC3" w:rsidRPr="009B5A0E">
        <w:rPr>
          <w:rFonts w:ascii="Helvetica" w:hAnsi="Helvetica"/>
          <w:sz w:val="22"/>
          <w:szCs w:val="22"/>
          <w:lang w:val="en"/>
        </w:rPr>
        <w:t>he Portal will feature an online training section and functionality to set up and maintain digital “communities of practice”, allowing the members to interact</w:t>
      </w:r>
      <w:r w:rsidRPr="009B5A0E">
        <w:rPr>
          <w:rFonts w:ascii="Helvetica" w:hAnsi="Helvetica"/>
          <w:sz w:val="22"/>
          <w:szCs w:val="22"/>
          <w:lang w:val="en"/>
        </w:rPr>
        <w:t xml:space="preserve"> for learning purposes</w:t>
      </w:r>
      <w:r w:rsidR="00166EC3" w:rsidRPr="009B5A0E">
        <w:rPr>
          <w:rFonts w:ascii="Helvetica" w:hAnsi="Helvetica"/>
          <w:sz w:val="22"/>
          <w:szCs w:val="22"/>
          <w:lang w:val="en"/>
        </w:rPr>
        <w:t xml:space="preserve">. This functionality will be cross-linked with the currently operational and popular social media messenger channel, maintained by ULGS. </w:t>
      </w:r>
      <w:r w:rsidR="002C0C00" w:rsidRPr="009B5A0E">
        <w:rPr>
          <w:rFonts w:ascii="Helvetica" w:hAnsi="Helvetica"/>
          <w:sz w:val="22"/>
          <w:szCs w:val="22"/>
          <w:lang w:val="en"/>
        </w:rPr>
        <w:t xml:space="preserve">Building on PBP, </w:t>
      </w:r>
      <w:r w:rsidR="00166EC3" w:rsidRPr="009B5A0E">
        <w:rPr>
          <w:rFonts w:ascii="Helvetica" w:hAnsi="Helvetica"/>
          <w:sz w:val="22"/>
          <w:szCs w:val="22"/>
          <w:lang w:val="en"/>
        </w:rPr>
        <w:t xml:space="preserve">ULGS </w:t>
      </w:r>
      <w:r w:rsidR="002C0C00" w:rsidRPr="009B5A0E">
        <w:rPr>
          <w:rFonts w:ascii="Helvetica" w:hAnsi="Helvetica"/>
          <w:sz w:val="22"/>
          <w:szCs w:val="22"/>
          <w:lang w:val="en"/>
        </w:rPr>
        <w:t xml:space="preserve">will be supported in developing and </w:t>
      </w:r>
      <w:r w:rsidR="00166EC3" w:rsidRPr="009B5A0E">
        <w:rPr>
          <w:rFonts w:ascii="Helvetica" w:hAnsi="Helvetica"/>
          <w:sz w:val="22"/>
          <w:szCs w:val="22"/>
          <w:lang w:val="en"/>
        </w:rPr>
        <w:t>manag</w:t>
      </w:r>
      <w:r w:rsidR="002C0C00" w:rsidRPr="009B5A0E">
        <w:rPr>
          <w:rFonts w:ascii="Helvetica" w:hAnsi="Helvetica"/>
          <w:sz w:val="22"/>
          <w:szCs w:val="22"/>
          <w:lang w:val="en"/>
        </w:rPr>
        <w:t>ing an additional</w:t>
      </w:r>
      <w:r w:rsidR="00166EC3" w:rsidRPr="009B5A0E">
        <w:rPr>
          <w:rFonts w:ascii="Helvetica" w:hAnsi="Helvetica"/>
          <w:sz w:val="22"/>
          <w:szCs w:val="22"/>
          <w:lang w:val="en"/>
        </w:rPr>
        <w:t xml:space="preserve"> </w:t>
      </w:r>
      <w:r w:rsidR="002C0C00" w:rsidRPr="009B5A0E">
        <w:rPr>
          <w:rFonts w:ascii="Helvetica" w:hAnsi="Helvetica"/>
          <w:sz w:val="22"/>
          <w:szCs w:val="22"/>
          <w:lang w:val="en"/>
        </w:rPr>
        <w:t>S</w:t>
      </w:r>
      <w:r w:rsidR="00166EC3" w:rsidRPr="009B5A0E">
        <w:rPr>
          <w:rFonts w:ascii="Helvetica" w:hAnsi="Helvetica"/>
          <w:sz w:val="22"/>
          <w:szCs w:val="22"/>
          <w:lang w:val="en"/>
        </w:rPr>
        <w:t xml:space="preserve">ystem for </w:t>
      </w:r>
      <w:r w:rsidR="002C0C00" w:rsidRPr="009B5A0E">
        <w:rPr>
          <w:rFonts w:ascii="Helvetica" w:hAnsi="Helvetica"/>
          <w:sz w:val="22"/>
          <w:szCs w:val="22"/>
          <w:lang w:val="en"/>
        </w:rPr>
        <w:t>T</w:t>
      </w:r>
      <w:r w:rsidR="00166EC3" w:rsidRPr="009B5A0E">
        <w:rPr>
          <w:rFonts w:ascii="Helvetica" w:hAnsi="Helvetica"/>
          <w:sz w:val="22"/>
          <w:szCs w:val="22"/>
          <w:lang w:val="en"/>
        </w:rPr>
        <w:t xml:space="preserve">raining and </w:t>
      </w:r>
      <w:r w:rsidR="002C0C00" w:rsidRPr="009B5A0E">
        <w:rPr>
          <w:rFonts w:ascii="Helvetica" w:hAnsi="Helvetica"/>
          <w:sz w:val="22"/>
          <w:szCs w:val="22"/>
          <w:lang w:val="en"/>
        </w:rPr>
        <w:t>P</w:t>
      </w:r>
      <w:r w:rsidR="00166EC3" w:rsidRPr="009B5A0E">
        <w:rPr>
          <w:rFonts w:ascii="Helvetica" w:hAnsi="Helvetica"/>
          <w:sz w:val="22"/>
          <w:szCs w:val="22"/>
          <w:lang w:val="en"/>
        </w:rPr>
        <w:t xml:space="preserve">eer to </w:t>
      </w:r>
      <w:r w:rsidR="002C0C00" w:rsidRPr="009B5A0E">
        <w:rPr>
          <w:rFonts w:ascii="Helvetica" w:hAnsi="Helvetica"/>
          <w:sz w:val="22"/>
          <w:szCs w:val="22"/>
          <w:lang w:val="en"/>
        </w:rPr>
        <w:t>P</w:t>
      </w:r>
      <w:r w:rsidR="00166EC3" w:rsidRPr="009B5A0E">
        <w:rPr>
          <w:rFonts w:ascii="Helvetica" w:hAnsi="Helvetica"/>
          <w:sz w:val="22"/>
          <w:szCs w:val="22"/>
          <w:lang w:val="en"/>
        </w:rPr>
        <w:t xml:space="preserve">eer </w:t>
      </w:r>
      <w:r w:rsidR="002C0C00" w:rsidRPr="009B5A0E">
        <w:rPr>
          <w:rFonts w:ascii="Helvetica" w:hAnsi="Helvetica"/>
          <w:sz w:val="22"/>
          <w:szCs w:val="22"/>
          <w:lang w:val="en"/>
        </w:rPr>
        <w:t>L</w:t>
      </w:r>
      <w:r w:rsidR="00166EC3" w:rsidRPr="009B5A0E">
        <w:rPr>
          <w:rFonts w:ascii="Helvetica" w:hAnsi="Helvetica"/>
          <w:sz w:val="22"/>
          <w:szCs w:val="22"/>
          <w:lang w:val="en"/>
        </w:rPr>
        <w:t>earning</w:t>
      </w:r>
      <w:r w:rsidR="002C0C00" w:rsidRPr="009B5A0E">
        <w:rPr>
          <w:rFonts w:ascii="Helvetica" w:hAnsi="Helvetica"/>
          <w:sz w:val="22"/>
          <w:szCs w:val="22"/>
          <w:lang w:val="en"/>
        </w:rPr>
        <w:t>.</w:t>
      </w:r>
      <w:r w:rsidR="00906587" w:rsidRPr="009B5A0E">
        <w:rPr>
          <w:rFonts w:ascii="Helvetica" w:hAnsi="Helvetica"/>
          <w:sz w:val="22"/>
          <w:szCs w:val="22"/>
          <w:lang w:val="en"/>
        </w:rPr>
        <w:t xml:space="preserve"> ULSG will develop internal capacity, with procedures and functionality to identify needs among its member LSGs, and organize learning experiences (workshops, seminars, master classes), including mentoring and coaching relationships among the LSGs.</w:t>
      </w:r>
      <w:r w:rsidR="002C0C00" w:rsidRPr="009B5A0E">
        <w:rPr>
          <w:rFonts w:ascii="Helvetica" w:hAnsi="Helvetica"/>
          <w:sz w:val="22"/>
          <w:szCs w:val="22"/>
          <w:lang w:val="en"/>
        </w:rPr>
        <w:t xml:space="preserve">  </w:t>
      </w:r>
      <w:r w:rsidR="00DF7CD9" w:rsidRPr="0020144A">
        <w:rPr>
          <w:rFonts w:ascii="Helvetica" w:hAnsi="Helvetica"/>
          <w:sz w:val="22"/>
          <w:szCs w:val="22"/>
          <w:lang w:val="en"/>
        </w:rPr>
        <w:t xml:space="preserve">A special </w:t>
      </w:r>
      <w:r w:rsidR="00223FB0" w:rsidRPr="0020144A">
        <w:rPr>
          <w:rFonts w:ascii="Helvetica" w:hAnsi="Helvetica"/>
          <w:sz w:val="22"/>
          <w:szCs w:val="22"/>
          <w:lang w:val="en"/>
        </w:rPr>
        <w:t>emphasis</w:t>
      </w:r>
      <w:r w:rsidR="00DF7CD9" w:rsidRPr="0020144A">
        <w:rPr>
          <w:rFonts w:ascii="Helvetica" w:hAnsi="Helvetica"/>
          <w:sz w:val="22"/>
          <w:szCs w:val="22"/>
          <w:lang w:val="en"/>
        </w:rPr>
        <w:t xml:space="preserve"> will be </w:t>
      </w:r>
      <w:r w:rsidR="00223FB0" w:rsidRPr="0020144A">
        <w:rPr>
          <w:rFonts w:ascii="Helvetica" w:hAnsi="Helvetica"/>
          <w:sz w:val="22"/>
          <w:szCs w:val="22"/>
          <w:lang w:val="en"/>
        </w:rPr>
        <w:t>made on</w:t>
      </w:r>
      <w:r w:rsidR="00DF7CD9" w:rsidRPr="0020144A">
        <w:rPr>
          <w:rFonts w:ascii="Helvetica" w:hAnsi="Helvetica"/>
          <w:sz w:val="22"/>
          <w:szCs w:val="22"/>
          <w:lang w:val="en"/>
        </w:rPr>
        <w:t xml:space="preserve"> online trainings and consultations, </w:t>
      </w:r>
      <w:r w:rsidR="00223FB0" w:rsidRPr="0020144A">
        <w:rPr>
          <w:rFonts w:ascii="Helvetica" w:hAnsi="Helvetica"/>
          <w:sz w:val="22"/>
          <w:szCs w:val="22"/>
          <w:lang w:val="en"/>
        </w:rPr>
        <w:t>in view of potential public health considerations.</w:t>
      </w:r>
    </w:p>
    <w:p w14:paraId="6E665598" w14:textId="77777777" w:rsidR="002C0C00" w:rsidRPr="00DF7CD9" w:rsidRDefault="002C0C00" w:rsidP="002C0C00">
      <w:pPr>
        <w:jc w:val="both"/>
        <w:textAlignment w:val="baseline"/>
        <w:rPr>
          <w:rFonts w:ascii="Helvetica" w:hAnsi="Helvetica"/>
          <w:sz w:val="22"/>
          <w:szCs w:val="22"/>
          <w:lang w:val="en-US"/>
        </w:rPr>
      </w:pPr>
    </w:p>
    <w:p w14:paraId="66EEAD11" w14:textId="00D4CDD0" w:rsidR="002C0C00" w:rsidRPr="0020144A" w:rsidRDefault="002C0C00" w:rsidP="002C0C00">
      <w:pPr>
        <w:jc w:val="both"/>
        <w:textAlignment w:val="baseline"/>
        <w:rPr>
          <w:rFonts w:ascii="Helvetica" w:hAnsi="Helvetica"/>
          <w:b/>
          <w:bCs/>
          <w:i/>
          <w:iCs/>
          <w:sz w:val="22"/>
          <w:szCs w:val="22"/>
          <w:lang w:val="en"/>
        </w:rPr>
      </w:pPr>
      <w:r w:rsidRPr="009B5A0E">
        <w:rPr>
          <w:rFonts w:ascii="Helvetica" w:hAnsi="Helvetica"/>
          <w:b/>
          <w:bCs/>
          <w:i/>
          <w:iCs/>
          <w:sz w:val="22"/>
          <w:szCs w:val="22"/>
          <w:lang w:val="en"/>
        </w:rPr>
        <w:t xml:space="preserve">Output 1.2 </w:t>
      </w:r>
      <w:r w:rsidR="0020144A" w:rsidRPr="0020144A">
        <w:rPr>
          <w:rFonts w:ascii="Helvetica" w:hAnsi="Helvetica"/>
          <w:b/>
          <w:bCs/>
          <w:i/>
          <w:iCs/>
          <w:sz w:val="22"/>
          <w:szCs w:val="22"/>
          <w:lang w:val="en"/>
        </w:rPr>
        <w:t>State Personnel Service outsources the continuous qualification upgrade services by involving the region</w:t>
      </w:r>
      <w:r w:rsidR="0020144A">
        <w:rPr>
          <w:rFonts w:ascii="Helvetica" w:hAnsi="Helvetica"/>
          <w:b/>
          <w:bCs/>
          <w:i/>
          <w:iCs/>
          <w:sz w:val="22"/>
          <w:szCs w:val="22"/>
          <w:lang w:val="en"/>
        </w:rPr>
        <w:t>al universities and LSG experts.</w:t>
      </w:r>
    </w:p>
    <w:p w14:paraId="6D7240F6" w14:textId="77777777" w:rsidR="002C0C00" w:rsidRPr="009B5A0E" w:rsidRDefault="002C0C00" w:rsidP="002C0C00">
      <w:pPr>
        <w:jc w:val="both"/>
        <w:textAlignment w:val="baseline"/>
        <w:rPr>
          <w:rFonts w:ascii="Helvetica" w:hAnsi="Helvetica"/>
          <w:sz w:val="22"/>
          <w:szCs w:val="22"/>
        </w:rPr>
      </w:pPr>
    </w:p>
    <w:p w14:paraId="53330AC3" w14:textId="77777777" w:rsidR="00CF52EE" w:rsidRPr="009B5A0E" w:rsidRDefault="002C0C00" w:rsidP="002C0C00">
      <w:pPr>
        <w:jc w:val="both"/>
        <w:textAlignment w:val="baseline"/>
        <w:rPr>
          <w:rFonts w:ascii="Helvetica" w:hAnsi="Helvetica"/>
          <w:sz w:val="22"/>
          <w:szCs w:val="22"/>
        </w:rPr>
      </w:pPr>
      <w:r w:rsidRPr="009B5A0E">
        <w:rPr>
          <w:rFonts w:ascii="Helvetica" w:hAnsi="Helvetica"/>
          <w:sz w:val="22"/>
          <w:szCs w:val="22"/>
        </w:rPr>
        <w:t xml:space="preserve">In order to </w:t>
      </w:r>
      <w:r w:rsidR="00306B4A" w:rsidRPr="009B5A0E">
        <w:rPr>
          <w:rFonts w:ascii="Helvetica" w:hAnsi="Helvetica"/>
          <w:sz w:val="22"/>
          <w:szCs w:val="22"/>
        </w:rPr>
        <w:t>sustain</w:t>
      </w:r>
      <w:r w:rsidRPr="009B5A0E">
        <w:rPr>
          <w:rFonts w:ascii="Helvetica" w:hAnsi="Helvetica"/>
          <w:sz w:val="22"/>
          <w:szCs w:val="22"/>
        </w:rPr>
        <w:t xml:space="preserve"> the achievements of Phase II that activated the role of SPS in meeting the professional development needs of municipal services, VAP will </w:t>
      </w:r>
      <w:r w:rsidR="008F610E" w:rsidRPr="009B5A0E">
        <w:rPr>
          <w:rFonts w:ascii="Helvetica" w:hAnsi="Helvetica"/>
          <w:sz w:val="22"/>
          <w:szCs w:val="22"/>
        </w:rPr>
        <w:t xml:space="preserve">help SPS establish a reliable, institutionalized mechanism for training municipal servants. </w:t>
      </w:r>
      <w:r w:rsidR="00027F4B" w:rsidRPr="009B5A0E">
        <w:rPr>
          <w:rFonts w:ascii="Helvetica" w:hAnsi="Helvetica"/>
          <w:sz w:val="22"/>
          <w:szCs w:val="22"/>
        </w:rPr>
        <w:t>Instead of</w:t>
      </w:r>
      <w:r w:rsidR="00F15936" w:rsidRPr="009B5A0E">
        <w:rPr>
          <w:rFonts w:ascii="Helvetica" w:hAnsi="Helvetica"/>
          <w:sz w:val="22"/>
          <w:szCs w:val="22"/>
        </w:rPr>
        <w:t xml:space="preserve"> in-house delivery of trainings which has significant drawbacks, SPS has been piloting an outsourcing approach, based on the well-established state order</w:t>
      </w:r>
      <w:r w:rsidR="00027F4B" w:rsidRPr="009B5A0E">
        <w:rPr>
          <w:rFonts w:ascii="Helvetica" w:hAnsi="Helvetica"/>
          <w:sz w:val="22"/>
          <w:szCs w:val="22"/>
        </w:rPr>
        <w:t xml:space="preserve"> (tendering)</w:t>
      </w:r>
      <w:r w:rsidR="00F15936" w:rsidRPr="009B5A0E">
        <w:rPr>
          <w:rFonts w:ascii="Helvetica" w:hAnsi="Helvetica"/>
          <w:sz w:val="22"/>
          <w:szCs w:val="22"/>
        </w:rPr>
        <w:t xml:space="preserve"> placement method, that relies on the regional universities as providers of capacity building services. </w:t>
      </w:r>
    </w:p>
    <w:p w14:paraId="6830BC2B" w14:textId="77777777" w:rsidR="00CF52EE" w:rsidRPr="009B5A0E" w:rsidRDefault="00CF52EE" w:rsidP="002C0C00">
      <w:pPr>
        <w:jc w:val="both"/>
        <w:textAlignment w:val="baseline"/>
        <w:rPr>
          <w:rFonts w:ascii="Helvetica" w:hAnsi="Helvetica"/>
          <w:sz w:val="22"/>
          <w:szCs w:val="22"/>
        </w:rPr>
      </w:pPr>
    </w:p>
    <w:p w14:paraId="5344ADA5" w14:textId="113124F6" w:rsidR="007C4435" w:rsidRPr="006A114A" w:rsidRDefault="00027F4B" w:rsidP="002C0C00">
      <w:pPr>
        <w:jc w:val="both"/>
        <w:textAlignment w:val="baseline"/>
        <w:rPr>
          <w:rFonts w:ascii="Helvetica" w:hAnsi="Helvetica"/>
          <w:sz w:val="22"/>
          <w:szCs w:val="22"/>
        </w:rPr>
      </w:pPr>
      <w:r w:rsidRPr="009B5A0E">
        <w:rPr>
          <w:rFonts w:ascii="Helvetica" w:hAnsi="Helvetica"/>
          <w:sz w:val="22"/>
          <w:szCs w:val="22"/>
        </w:rPr>
        <w:t>This contracting</w:t>
      </w:r>
      <w:r w:rsidR="00FF77DB" w:rsidRPr="009B5A0E">
        <w:rPr>
          <w:rFonts w:ascii="Helvetica" w:hAnsi="Helvetica"/>
          <w:sz w:val="22"/>
          <w:szCs w:val="22"/>
        </w:rPr>
        <w:t xml:space="preserve"> mechanism</w:t>
      </w:r>
      <w:r w:rsidRPr="009B5A0E">
        <w:rPr>
          <w:rFonts w:ascii="Helvetica" w:hAnsi="Helvetica"/>
          <w:sz w:val="22"/>
          <w:szCs w:val="22"/>
        </w:rPr>
        <w:t xml:space="preserve"> targets a specific </w:t>
      </w:r>
      <w:r w:rsidR="00FF77DB" w:rsidRPr="009B5A0E">
        <w:rPr>
          <w:rFonts w:ascii="Helvetica" w:hAnsi="Helvetica"/>
          <w:sz w:val="22"/>
          <w:szCs w:val="22"/>
        </w:rPr>
        <w:t>section</w:t>
      </w:r>
      <w:r w:rsidRPr="009B5A0E">
        <w:rPr>
          <w:rFonts w:ascii="Helvetica" w:hAnsi="Helvetica"/>
          <w:sz w:val="22"/>
          <w:szCs w:val="22"/>
        </w:rPr>
        <w:t xml:space="preserve"> of professional development, the upgrade of professional qualifications, which is different from retraining, training of trainers,</w:t>
      </w:r>
      <w:r w:rsidR="00FF77DB" w:rsidRPr="009B5A0E">
        <w:rPr>
          <w:rFonts w:ascii="Helvetica" w:hAnsi="Helvetica"/>
          <w:sz w:val="22"/>
          <w:szCs w:val="22"/>
        </w:rPr>
        <w:t xml:space="preserve"> </w:t>
      </w:r>
      <w:r w:rsidR="00FF77DB" w:rsidRPr="009B5A0E">
        <w:rPr>
          <w:rFonts w:ascii="Helvetica" w:hAnsi="Helvetica"/>
          <w:sz w:val="22"/>
          <w:szCs w:val="22"/>
        </w:rPr>
        <w:lastRenderedPageBreak/>
        <w:t>trainings in support of national strategic priorities,</w:t>
      </w:r>
      <w:r w:rsidRPr="009B5A0E">
        <w:rPr>
          <w:rFonts w:ascii="Helvetica" w:hAnsi="Helvetica"/>
          <w:sz w:val="22"/>
          <w:szCs w:val="22"/>
        </w:rPr>
        <w:t xml:space="preserve"> and training programs for political municipal positions</w:t>
      </w:r>
      <w:r w:rsidRPr="006A114A">
        <w:rPr>
          <w:rFonts w:ascii="Helvetica" w:hAnsi="Helvetica"/>
          <w:sz w:val="22"/>
          <w:szCs w:val="22"/>
        </w:rPr>
        <w:t xml:space="preserve">. </w:t>
      </w:r>
      <w:r w:rsidR="00E12FEC" w:rsidRPr="006A114A">
        <w:rPr>
          <w:rFonts w:ascii="Helvetica" w:hAnsi="Helvetica"/>
          <w:sz w:val="22"/>
          <w:szCs w:val="22"/>
        </w:rPr>
        <w:t>Under the existing legislation (the Law on State Civil Service and Municipal Service</w:t>
      </w:r>
      <w:r w:rsidR="007C4435" w:rsidRPr="006A114A">
        <w:rPr>
          <w:rFonts w:ascii="Helvetica" w:hAnsi="Helvetica"/>
          <w:sz w:val="22"/>
          <w:szCs w:val="22"/>
        </w:rPr>
        <w:t>, Article 28</w:t>
      </w:r>
      <w:r w:rsidR="007C4435" w:rsidRPr="006A114A">
        <w:rPr>
          <w:rStyle w:val="af"/>
          <w:rFonts w:ascii="Helvetica" w:hAnsi="Helvetica"/>
          <w:sz w:val="22"/>
          <w:szCs w:val="22"/>
        </w:rPr>
        <w:footnoteReference w:id="1"/>
      </w:r>
      <w:r w:rsidR="00E12FEC" w:rsidRPr="006A114A">
        <w:rPr>
          <w:rFonts w:ascii="Helvetica" w:hAnsi="Helvetica"/>
          <w:sz w:val="22"/>
          <w:szCs w:val="22"/>
        </w:rPr>
        <w:t xml:space="preserve">), municipal servants are required to undergo professional qualifications upgrade at least once every three years. This training </w:t>
      </w:r>
      <w:r w:rsidR="007C4435" w:rsidRPr="006A114A">
        <w:rPr>
          <w:rFonts w:ascii="Helvetica" w:hAnsi="Helvetica"/>
          <w:sz w:val="22"/>
          <w:szCs w:val="22"/>
        </w:rPr>
        <w:t xml:space="preserve">is taken into account in performance evaluations and in selection/recruitment processes for municipal positions. The themes of training are determined by several standards and regulations, related to qualification requirements, competitive selection and promotion. The training is also a factor in assignment of municipal service class ranks. </w:t>
      </w:r>
    </w:p>
    <w:p w14:paraId="3683E115" w14:textId="77777777" w:rsidR="007C4435" w:rsidRDefault="007C4435" w:rsidP="002C0C00">
      <w:pPr>
        <w:jc w:val="both"/>
        <w:textAlignment w:val="baseline"/>
        <w:rPr>
          <w:rFonts w:ascii="Helvetica" w:hAnsi="Helvetica"/>
          <w:sz w:val="22"/>
          <w:szCs w:val="22"/>
        </w:rPr>
      </w:pPr>
    </w:p>
    <w:p w14:paraId="30AFBBF4" w14:textId="0CC6825D" w:rsidR="00FF77DB" w:rsidRPr="009B5A0E" w:rsidRDefault="00027F4B" w:rsidP="002C0C00">
      <w:pPr>
        <w:jc w:val="both"/>
        <w:textAlignment w:val="baseline"/>
        <w:rPr>
          <w:rFonts w:ascii="Helvetica" w:hAnsi="Helvetica"/>
          <w:sz w:val="22"/>
          <w:szCs w:val="22"/>
        </w:rPr>
      </w:pPr>
      <w:r w:rsidRPr="009B5A0E">
        <w:rPr>
          <w:rFonts w:ascii="Helvetica" w:hAnsi="Helvetica"/>
          <w:sz w:val="22"/>
          <w:szCs w:val="22"/>
        </w:rPr>
        <w:t xml:space="preserve">In the last two years, these qualifications upgrade courses </w:t>
      </w:r>
      <w:r w:rsidR="003E7463">
        <w:rPr>
          <w:rFonts w:ascii="Helvetica" w:hAnsi="Helvetica"/>
          <w:sz w:val="22"/>
          <w:szCs w:val="22"/>
        </w:rPr>
        <w:t>we</w:t>
      </w:r>
      <w:r w:rsidRPr="009B5A0E">
        <w:rPr>
          <w:rFonts w:ascii="Helvetica" w:hAnsi="Helvetica"/>
          <w:sz w:val="22"/>
          <w:szCs w:val="22"/>
        </w:rPr>
        <w:t xml:space="preserve">re tendered for delivery in each of the seven regions and the city of Bishkek. </w:t>
      </w:r>
      <w:r w:rsidR="00CF52EE" w:rsidRPr="009B5A0E">
        <w:rPr>
          <w:rFonts w:ascii="Helvetica" w:hAnsi="Helvetica"/>
          <w:sz w:val="22"/>
          <w:szCs w:val="22"/>
        </w:rPr>
        <w:t>For some of the common areas of knowledge, the delivery of these courses is combined for state public service and municipal service and is separate for areas of knowledge that are specific to municipal service.</w:t>
      </w:r>
    </w:p>
    <w:p w14:paraId="60CA3C8E" w14:textId="77777777" w:rsidR="00FF77DB" w:rsidRPr="009B5A0E" w:rsidRDefault="00FF77DB" w:rsidP="002C0C00">
      <w:pPr>
        <w:jc w:val="both"/>
        <w:textAlignment w:val="baseline"/>
        <w:rPr>
          <w:rFonts w:ascii="Helvetica" w:hAnsi="Helvetica"/>
          <w:sz w:val="22"/>
          <w:szCs w:val="22"/>
        </w:rPr>
      </w:pPr>
    </w:p>
    <w:p w14:paraId="49820746" w14:textId="3FEC7C61" w:rsidR="00F15936" w:rsidRPr="006A114A" w:rsidRDefault="00027F4B" w:rsidP="002C0C00">
      <w:pPr>
        <w:jc w:val="both"/>
        <w:textAlignment w:val="baseline"/>
        <w:rPr>
          <w:rFonts w:ascii="Helvetica" w:hAnsi="Helvetica"/>
          <w:sz w:val="22"/>
          <w:szCs w:val="22"/>
        </w:rPr>
      </w:pPr>
      <w:r w:rsidRPr="009B5A0E">
        <w:rPr>
          <w:rFonts w:ascii="Helvetica" w:hAnsi="Helvetica"/>
          <w:sz w:val="22"/>
          <w:szCs w:val="22"/>
        </w:rPr>
        <w:t xml:space="preserve">The curriculum covers </w:t>
      </w:r>
      <w:r w:rsidR="00FF77DB" w:rsidRPr="009B5A0E">
        <w:rPr>
          <w:rFonts w:ascii="Helvetica" w:hAnsi="Helvetica"/>
          <w:sz w:val="22"/>
          <w:szCs w:val="22"/>
        </w:rPr>
        <w:t>administrative</w:t>
      </w:r>
      <w:r w:rsidRPr="009B5A0E">
        <w:rPr>
          <w:rFonts w:ascii="Helvetica" w:hAnsi="Helvetica"/>
          <w:sz w:val="22"/>
          <w:szCs w:val="22"/>
        </w:rPr>
        <w:t xml:space="preserve"> Kyrgyz language, </w:t>
      </w:r>
      <w:r w:rsidR="00FF77DB" w:rsidRPr="009B5A0E">
        <w:rPr>
          <w:rFonts w:ascii="Helvetica" w:hAnsi="Helvetica"/>
          <w:sz w:val="22"/>
          <w:szCs w:val="22"/>
        </w:rPr>
        <w:t>legal and normative development for state and LSG bodies, public procurement of goods, services and works, business communications in state and municipal service, budgetary planning and forecasting, human resource management, administration of records and documentation, land resource management, organizational management of local services. There is also</w:t>
      </w:r>
      <w:r w:rsidRPr="009B5A0E">
        <w:rPr>
          <w:rFonts w:ascii="Helvetica" w:hAnsi="Helvetica"/>
          <w:sz w:val="22"/>
          <w:szCs w:val="22"/>
        </w:rPr>
        <w:t xml:space="preserve"> </w:t>
      </w:r>
      <w:r w:rsidR="00FF77DB" w:rsidRPr="009B5A0E">
        <w:rPr>
          <w:rFonts w:ascii="Helvetica" w:hAnsi="Helvetica"/>
          <w:sz w:val="22"/>
          <w:szCs w:val="22"/>
        </w:rPr>
        <w:t xml:space="preserve">a separate course with advanced </w:t>
      </w:r>
      <w:r w:rsidR="00CF52EE" w:rsidRPr="009B5A0E">
        <w:rPr>
          <w:rFonts w:ascii="Helvetica" w:hAnsi="Helvetica"/>
          <w:sz w:val="22"/>
          <w:szCs w:val="22"/>
        </w:rPr>
        <w:t>topics, such</w:t>
      </w:r>
      <w:r w:rsidR="00520652" w:rsidRPr="009B5A0E">
        <w:rPr>
          <w:rFonts w:ascii="Helvetica" w:hAnsi="Helvetica"/>
          <w:sz w:val="22"/>
          <w:szCs w:val="22"/>
        </w:rPr>
        <w:t xml:space="preserve"> as financial and economic fundamentals of local self-governance, strategic planning of local development, digital technologies in local government, programmatic budgeting, gender policy and anti-corruption aspects. </w:t>
      </w:r>
      <w:r w:rsidR="007C4435" w:rsidRPr="006A114A">
        <w:rPr>
          <w:rFonts w:ascii="Helvetica" w:hAnsi="Helvetica"/>
          <w:sz w:val="22"/>
          <w:szCs w:val="22"/>
        </w:rPr>
        <w:t xml:space="preserve">The content and themes are determined by the SPS in accordance with legislation and relevant regulations, such as the </w:t>
      </w:r>
      <w:r w:rsidR="00B365B0" w:rsidRPr="006A114A">
        <w:rPr>
          <w:rFonts w:ascii="Helvetica" w:hAnsi="Helvetica"/>
          <w:sz w:val="22"/>
          <w:szCs w:val="22"/>
        </w:rPr>
        <w:t>Methodology for training needs assessment for public servants</w:t>
      </w:r>
      <w:r w:rsidR="007C4435" w:rsidRPr="006A114A">
        <w:rPr>
          <w:rFonts w:ascii="Helvetica" w:hAnsi="Helvetica"/>
          <w:sz w:val="22"/>
          <w:szCs w:val="22"/>
        </w:rPr>
        <w:t>.</w:t>
      </w:r>
      <w:r w:rsidR="007C4435" w:rsidRPr="006A114A">
        <w:rPr>
          <w:rStyle w:val="af"/>
          <w:rFonts w:ascii="Helvetica" w:hAnsi="Helvetica"/>
          <w:sz w:val="22"/>
          <w:szCs w:val="22"/>
        </w:rPr>
        <w:footnoteReference w:id="2"/>
      </w:r>
      <w:r w:rsidR="007C4435" w:rsidRPr="006A114A">
        <w:rPr>
          <w:rFonts w:ascii="Helvetica" w:hAnsi="Helvetica"/>
          <w:sz w:val="22"/>
          <w:szCs w:val="22"/>
        </w:rPr>
        <w:t xml:space="preserve"> </w:t>
      </w:r>
    </w:p>
    <w:p w14:paraId="1C5DF3A8" w14:textId="77777777" w:rsidR="001A5268" w:rsidRDefault="001A5268" w:rsidP="002C0C00">
      <w:pPr>
        <w:jc w:val="both"/>
        <w:textAlignment w:val="baseline"/>
        <w:rPr>
          <w:rFonts w:ascii="Helvetica" w:hAnsi="Helvetica"/>
          <w:sz w:val="22"/>
          <w:szCs w:val="22"/>
        </w:rPr>
      </w:pPr>
    </w:p>
    <w:p w14:paraId="5B5924BC" w14:textId="77777777" w:rsidR="003E7463" w:rsidRDefault="003E7463" w:rsidP="002C0C00">
      <w:pPr>
        <w:jc w:val="both"/>
        <w:textAlignment w:val="baseline"/>
        <w:rPr>
          <w:rFonts w:ascii="Helvetica" w:hAnsi="Helvetica"/>
          <w:sz w:val="22"/>
          <w:szCs w:val="22"/>
        </w:rPr>
      </w:pPr>
      <w:r>
        <w:rPr>
          <w:rFonts w:ascii="Helvetica" w:hAnsi="Helvetica"/>
          <w:sz w:val="22"/>
          <w:szCs w:val="22"/>
        </w:rPr>
        <w:t>VAP will support further improvement and operationalization of the essential processes that deliver this curriculum through the regional universities. Additional support will be provided to the regional universities in terms of negotiating their interest, inventorying their capabilities and identifying areas of improvements. VAP will also help universities in developing their roster of experts and trainers, based on the project database of municipal sector practitioners.</w:t>
      </w:r>
    </w:p>
    <w:p w14:paraId="05E31CB0" w14:textId="77777777" w:rsidR="003E7463" w:rsidRPr="009B5A0E" w:rsidRDefault="003E7463" w:rsidP="002C0C00">
      <w:pPr>
        <w:jc w:val="both"/>
        <w:textAlignment w:val="baseline"/>
        <w:rPr>
          <w:rFonts w:ascii="Helvetica" w:hAnsi="Helvetica"/>
          <w:sz w:val="22"/>
          <w:szCs w:val="22"/>
        </w:rPr>
      </w:pPr>
    </w:p>
    <w:p w14:paraId="74D03DFD" w14:textId="77777777" w:rsidR="003E7463" w:rsidRPr="009B5A0E" w:rsidRDefault="001A5268" w:rsidP="002C0C00">
      <w:pPr>
        <w:jc w:val="both"/>
        <w:textAlignment w:val="baseline"/>
        <w:rPr>
          <w:rFonts w:ascii="Helvetica" w:hAnsi="Helvetica"/>
          <w:sz w:val="22"/>
          <w:szCs w:val="22"/>
        </w:rPr>
      </w:pPr>
      <w:r w:rsidRPr="009B5A0E">
        <w:rPr>
          <w:rFonts w:ascii="Helvetica" w:hAnsi="Helvetica"/>
          <w:sz w:val="22"/>
          <w:szCs w:val="22"/>
        </w:rPr>
        <w:t>By supporting the implementation of qualification upgrade services by the SPS, the project will finalize during the Exit Phase the mechanism for an essential capacity-building process. While directly developing the content for qualification upgrade programs would be beyond scope, VAP will reflect participatory budgeting priorities in its technical, advisory and operational support to this process.</w:t>
      </w:r>
    </w:p>
    <w:p w14:paraId="7F03BD40" w14:textId="54AF9EE0" w:rsidR="00CF52EE" w:rsidRPr="009B5A0E" w:rsidRDefault="00CF52EE" w:rsidP="003D2267">
      <w:pPr>
        <w:pStyle w:val="2"/>
        <w:tabs>
          <w:tab w:val="clear" w:pos="567"/>
        </w:tabs>
        <w:ind w:left="720"/>
        <w:jc w:val="left"/>
        <w:rPr>
          <w:rFonts w:ascii="Helvetica" w:hAnsi="Helvetica"/>
        </w:rPr>
      </w:pPr>
      <w:bookmarkStart w:id="5" w:name="_Toc48896051"/>
      <w:r w:rsidRPr="009B5A0E">
        <w:rPr>
          <w:rFonts w:ascii="Helvetica" w:hAnsi="Helvetica"/>
        </w:rPr>
        <w:t xml:space="preserve">Outcome 2. </w:t>
      </w:r>
      <w:r w:rsidR="006A114A" w:rsidRPr="006A114A">
        <w:rPr>
          <w:rFonts w:ascii="Helvetica" w:hAnsi="Helvetica"/>
          <w:lang w:val="en"/>
        </w:rPr>
        <w:t>Citizens influence local decision-making through participatory and gender responsive budgeting</w:t>
      </w:r>
      <w:bookmarkEnd w:id="5"/>
    </w:p>
    <w:p w14:paraId="4A750810" w14:textId="0431B1DA" w:rsidR="001E277E" w:rsidRPr="009B5A0E" w:rsidRDefault="00EC00EE" w:rsidP="00CF52EE">
      <w:pPr>
        <w:jc w:val="both"/>
        <w:textAlignment w:val="baseline"/>
        <w:rPr>
          <w:rFonts w:ascii="Helvetica" w:hAnsi="Helvetica"/>
          <w:sz w:val="22"/>
          <w:szCs w:val="22"/>
          <w:lang w:val="en-US"/>
        </w:rPr>
      </w:pPr>
      <w:r>
        <w:rPr>
          <w:rFonts w:ascii="Helvetica" w:hAnsi="Helvetica"/>
          <w:sz w:val="22"/>
          <w:szCs w:val="22"/>
          <w:lang w:val="en-US"/>
        </w:rPr>
        <w:t>As almost</w:t>
      </w:r>
      <w:r w:rsidR="004140C7" w:rsidRPr="009B5A0E">
        <w:rPr>
          <w:rFonts w:ascii="Helvetica" w:hAnsi="Helvetica"/>
          <w:sz w:val="22"/>
          <w:szCs w:val="22"/>
          <w:lang w:val="en-US"/>
        </w:rPr>
        <w:t xml:space="preserve"> 70% of LSGs across the country have conducted public hearings by </w:t>
      </w:r>
      <w:r w:rsidR="006A77A6" w:rsidRPr="009B5A0E">
        <w:rPr>
          <w:rFonts w:ascii="Helvetica" w:hAnsi="Helvetica"/>
          <w:sz w:val="22"/>
          <w:szCs w:val="22"/>
          <w:lang w:val="en-US"/>
        </w:rPr>
        <w:t xml:space="preserve">early </w:t>
      </w:r>
      <w:r w:rsidR="004140C7" w:rsidRPr="009B5A0E">
        <w:rPr>
          <w:rFonts w:ascii="Helvetica" w:hAnsi="Helvetica"/>
          <w:sz w:val="22"/>
          <w:szCs w:val="22"/>
          <w:lang w:val="en-US"/>
        </w:rPr>
        <w:t>20</w:t>
      </w:r>
      <w:r w:rsidR="006A77A6" w:rsidRPr="009B5A0E">
        <w:rPr>
          <w:rFonts w:ascii="Helvetica" w:hAnsi="Helvetica"/>
          <w:sz w:val="22"/>
          <w:szCs w:val="22"/>
          <w:lang w:val="en-US"/>
        </w:rPr>
        <w:t>20</w:t>
      </w:r>
      <w:r w:rsidR="004140C7" w:rsidRPr="009B5A0E">
        <w:rPr>
          <w:rFonts w:ascii="Helvetica" w:hAnsi="Helvetica"/>
          <w:sz w:val="22"/>
          <w:szCs w:val="22"/>
          <w:lang w:val="en-US"/>
        </w:rPr>
        <w:t>, the conditions are in place for improving</w:t>
      </w:r>
      <w:r w:rsidR="006A77A6" w:rsidRPr="009B5A0E">
        <w:rPr>
          <w:rFonts w:ascii="Helvetica" w:hAnsi="Helvetica"/>
          <w:sz w:val="22"/>
          <w:szCs w:val="22"/>
          <w:lang w:val="en-US"/>
        </w:rPr>
        <w:t xml:space="preserve"> further</w:t>
      </w:r>
      <w:r w:rsidR="004140C7" w:rsidRPr="009B5A0E">
        <w:rPr>
          <w:rFonts w:ascii="Helvetica" w:hAnsi="Helvetica"/>
          <w:sz w:val="22"/>
          <w:szCs w:val="22"/>
          <w:lang w:val="en-US"/>
        </w:rPr>
        <w:t xml:space="preserve"> the reach, quality and impact of</w:t>
      </w:r>
      <w:r w:rsidR="006A77A6" w:rsidRPr="009B5A0E">
        <w:rPr>
          <w:rFonts w:ascii="Helvetica" w:hAnsi="Helvetica"/>
          <w:sz w:val="22"/>
          <w:szCs w:val="22"/>
          <w:lang w:val="en-US"/>
        </w:rPr>
        <w:t xml:space="preserve"> the</w:t>
      </w:r>
      <w:r w:rsidR="004140C7" w:rsidRPr="009B5A0E">
        <w:rPr>
          <w:rFonts w:ascii="Helvetica" w:hAnsi="Helvetica"/>
          <w:sz w:val="22"/>
          <w:szCs w:val="22"/>
          <w:lang w:val="en-US"/>
        </w:rPr>
        <w:t xml:space="preserve"> local budget processes. The current momentum, where municipal servants are taking steps to engage citizens in budget planning, requires assistance to institutions with nationwide impact. By</w:t>
      </w:r>
      <w:r w:rsidR="006A77A6" w:rsidRPr="009B5A0E">
        <w:rPr>
          <w:rFonts w:ascii="Helvetica" w:hAnsi="Helvetica"/>
          <w:sz w:val="22"/>
          <w:szCs w:val="22"/>
          <w:lang w:val="en-US"/>
        </w:rPr>
        <w:t xml:space="preserve"> the</w:t>
      </w:r>
      <w:r w:rsidR="004140C7" w:rsidRPr="009B5A0E">
        <w:rPr>
          <w:rFonts w:ascii="Helvetica" w:hAnsi="Helvetica"/>
          <w:sz w:val="22"/>
          <w:szCs w:val="22"/>
          <w:lang w:val="en-US"/>
        </w:rPr>
        <w:t xml:space="preserve"> end of the Exit Phase the VAP project </w:t>
      </w:r>
      <w:r w:rsidR="006A77A6" w:rsidRPr="009B5A0E">
        <w:rPr>
          <w:rFonts w:ascii="Helvetica" w:hAnsi="Helvetica"/>
          <w:sz w:val="22"/>
          <w:szCs w:val="22"/>
          <w:lang w:val="en-US"/>
        </w:rPr>
        <w:t xml:space="preserve">intends to strengthen the capacity of national stakeholders to mainstream participatory and inclusive budgeting, by focusing on policy advocacy capacity and strategic support to implementation and enforcement of existing frameworks. </w:t>
      </w:r>
      <w:r w:rsidR="001E277E" w:rsidRPr="009B5A0E">
        <w:rPr>
          <w:rFonts w:ascii="Helvetica" w:hAnsi="Helvetica"/>
          <w:sz w:val="22"/>
          <w:szCs w:val="22"/>
          <w:lang w:val="en-US"/>
        </w:rPr>
        <w:t xml:space="preserve">Figure </w:t>
      </w:r>
      <w:r w:rsidR="00964BC5">
        <w:rPr>
          <w:rFonts w:ascii="Helvetica" w:hAnsi="Helvetica"/>
          <w:sz w:val="22"/>
          <w:szCs w:val="22"/>
          <w:lang w:val="en-US"/>
        </w:rPr>
        <w:t>4</w:t>
      </w:r>
      <w:r w:rsidR="001E277E" w:rsidRPr="009B5A0E">
        <w:rPr>
          <w:rFonts w:ascii="Helvetica" w:hAnsi="Helvetica"/>
          <w:sz w:val="22"/>
          <w:szCs w:val="22"/>
          <w:lang w:val="en-US"/>
        </w:rPr>
        <w:t>provides a visual summary for Outcome 2.</w:t>
      </w:r>
    </w:p>
    <w:p w14:paraId="06C324E2" w14:textId="77777777" w:rsidR="001E277E" w:rsidRPr="009B5A0E" w:rsidRDefault="001E277E" w:rsidP="00CF52EE">
      <w:pPr>
        <w:jc w:val="both"/>
        <w:textAlignment w:val="baseline"/>
        <w:rPr>
          <w:rFonts w:ascii="Helvetica" w:hAnsi="Helvetica"/>
          <w:sz w:val="22"/>
          <w:szCs w:val="22"/>
          <w:lang w:val="en-US"/>
        </w:rPr>
      </w:pPr>
    </w:p>
    <w:p w14:paraId="076AA821" w14:textId="3CB03C54" w:rsidR="001E277E" w:rsidRPr="009B5A0E" w:rsidRDefault="004E037E" w:rsidP="001E277E">
      <w:pPr>
        <w:keepNext/>
        <w:jc w:val="both"/>
        <w:textAlignment w:val="baseline"/>
        <w:rPr>
          <w:rFonts w:ascii="Helvetica" w:hAnsi="Helvetica"/>
        </w:rPr>
      </w:pPr>
      <w:r w:rsidRPr="00626CED">
        <w:rPr>
          <w:rFonts w:ascii="Helvetica" w:hAnsi="Helvetica"/>
          <w:noProof/>
          <w:sz w:val="22"/>
          <w:szCs w:val="22"/>
          <w:lang w:val="de-CH" w:eastAsia="de-CH"/>
        </w:rPr>
        <w:lastRenderedPageBreak/>
        <w:drawing>
          <wp:inline distT="0" distB="0" distL="0" distR="0" wp14:anchorId="50072DD1" wp14:editId="07BCF568">
            <wp:extent cx="5731510" cy="273069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803" t="13448" r="9503" b="17347"/>
                    <a:stretch/>
                  </pic:blipFill>
                  <pic:spPr bwMode="auto">
                    <a:xfrm>
                      <a:off x="0" y="0"/>
                      <a:ext cx="5731510" cy="2730696"/>
                    </a:xfrm>
                    <a:prstGeom prst="rect">
                      <a:avLst/>
                    </a:prstGeom>
                    <a:ln>
                      <a:noFill/>
                    </a:ln>
                    <a:extLst>
                      <a:ext uri="{53640926-AAD7-44D8-BBD7-CCE9431645EC}">
                        <a14:shadowObscured xmlns:a14="http://schemas.microsoft.com/office/drawing/2010/main"/>
                      </a:ext>
                    </a:extLst>
                  </pic:spPr>
                </pic:pic>
              </a:graphicData>
            </a:graphic>
          </wp:inline>
        </w:drawing>
      </w:r>
    </w:p>
    <w:p w14:paraId="21C0AC0B" w14:textId="01809F63" w:rsidR="001E277E" w:rsidRPr="009B5A0E" w:rsidRDefault="001E277E" w:rsidP="001E277E">
      <w:pPr>
        <w:pStyle w:val="af1"/>
        <w:jc w:val="both"/>
        <w:rPr>
          <w:rFonts w:ascii="Helvetica" w:hAnsi="Helvetica"/>
          <w:sz w:val="22"/>
          <w:szCs w:val="22"/>
          <w:lang w:val="en-US"/>
        </w:rPr>
      </w:pPr>
      <w:r w:rsidRPr="009B5A0E">
        <w:rPr>
          <w:rFonts w:ascii="Helvetica" w:hAnsi="Helvetica"/>
        </w:rPr>
        <w:t xml:space="preserve">Figure </w:t>
      </w:r>
      <w:r w:rsidR="00964BC5">
        <w:rPr>
          <w:rFonts w:ascii="Helvetica" w:hAnsi="Helvetica"/>
        </w:rPr>
        <w:t>4</w:t>
      </w:r>
      <w:r w:rsidRPr="009B5A0E">
        <w:rPr>
          <w:rFonts w:ascii="Helvetica" w:hAnsi="Helvetica"/>
        </w:rPr>
        <w:t>. Outcome 2 visualization.</w:t>
      </w:r>
    </w:p>
    <w:p w14:paraId="48E29195" w14:textId="08244637" w:rsidR="00CF52EE" w:rsidRDefault="00CF52EE" w:rsidP="00CF52EE">
      <w:pPr>
        <w:jc w:val="both"/>
        <w:textAlignment w:val="baseline"/>
        <w:rPr>
          <w:rFonts w:ascii="Helvetica" w:hAnsi="Helvetica"/>
          <w:b/>
          <w:bCs/>
          <w:i/>
          <w:iCs/>
          <w:sz w:val="22"/>
          <w:szCs w:val="22"/>
          <w:lang w:val="en"/>
        </w:rPr>
      </w:pPr>
      <w:r w:rsidRPr="009B5A0E">
        <w:rPr>
          <w:rFonts w:ascii="Helvetica" w:hAnsi="Helvetica"/>
          <w:b/>
          <w:bCs/>
          <w:i/>
          <w:iCs/>
          <w:sz w:val="22"/>
          <w:szCs w:val="22"/>
        </w:rPr>
        <w:t xml:space="preserve">Output 2.1. </w:t>
      </w:r>
      <w:r w:rsidR="00600E30" w:rsidRPr="00600E30">
        <w:rPr>
          <w:rFonts w:ascii="Helvetica" w:hAnsi="Helvetica"/>
          <w:b/>
          <w:bCs/>
          <w:i/>
          <w:iCs/>
          <w:sz w:val="22"/>
          <w:szCs w:val="22"/>
          <w:lang w:val="en"/>
        </w:rPr>
        <w:t>ULSG and other national stakeholders effectively advocate for key legal frameworks supporting nationwide shift to participatory, gender responsive budgeting</w:t>
      </w:r>
    </w:p>
    <w:p w14:paraId="72A6660C" w14:textId="77777777" w:rsidR="00600E30" w:rsidRPr="009B5A0E" w:rsidRDefault="00600E30" w:rsidP="00CF52EE">
      <w:pPr>
        <w:jc w:val="both"/>
        <w:textAlignment w:val="baseline"/>
        <w:rPr>
          <w:rFonts w:ascii="Helvetica" w:hAnsi="Helvetica"/>
          <w:sz w:val="22"/>
          <w:szCs w:val="22"/>
          <w:lang w:val="en-US"/>
        </w:rPr>
      </w:pPr>
    </w:p>
    <w:p w14:paraId="36F7CCBC" w14:textId="77777777" w:rsidR="006A77A6" w:rsidRPr="009B5A0E" w:rsidRDefault="006A77A6" w:rsidP="00CF52EE">
      <w:pPr>
        <w:jc w:val="both"/>
        <w:textAlignment w:val="baseline"/>
        <w:rPr>
          <w:rFonts w:ascii="Helvetica" w:hAnsi="Helvetica"/>
          <w:sz w:val="22"/>
          <w:szCs w:val="22"/>
          <w:lang w:val="en-US"/>
        </w:rPr>
      </w:pPr>
      <w:r w:rsidRPr="009B5A0E">
        <w:rPr>
          <w:rFonts w:ascii="Helvetica" w:hAnsi="Helvetica"/>
          <w:sz w:val="22"/>
          <w:szCs w:val="22"/>
          <w:lang w:val="en-US"/>
        </w:rPr>
        <w:t>VAP project will provide specific assistance to ULSG, SALSGIR, SPS, MF and other national stakeholders to advance several significant legal and regulatory frameworks. The project will make available legal expertise, analytical guidance, and facilitate expert consultations in following areas</w:t>
      </w:r>
      <w:r w:rsidR="006F1B02" w:rsidRPr="009B5A0E">
        <w:rPr>
          <w:rFonts w:ascii="Helvetica" w:hAnsi="Helvetica"/>
          <w:sz w:val="22"/>
          <w:szCs w:val="22"/>
          <w:lang w:val="en-US"/>
        </w:rPr>
        <w:t>.</w:t>
      </w:r>
      <w:r w:rsidRPr="009B5A0E">
        <w:rPr>
          <w:rFonts w:ascii="Helvetica" w:hAnsi="Helvetica"/>
          <w:sz w:val="22"/>
          <w:szCs w:val="22"/>
          <w:lang w:val="en-US"/>
        </w:rPr>
        <w:t xml:space="preserve"> </w:t>
      </w:r>
    </w:p>
    <w:p w14:paraId="5B760656" w14:textId="77777777" w:rsidR="006F1B02" w:rsidRPr="009B5A0E" w:rsidRDefault="006F1B02" w:rsidP="006F1B02">
      <w:pPr>
        <w:jc w:val="both"/>
        <w:textAlignment w:val="baseline"/>
        <w:rPr>
          <w:rFonts w:ascii="Helvetica" w:hAnsi="Helvetica"/>
          <w:sz w:val="22"/>
          <w:szCs w:val="22"/>
          <w:lang w:val="en"/>
        </w:rPr>
      </w:pPr>
    </w:p>
    <w:p w14:paraId="59DDFA5E" w14:textId="4C96E47A" w:rsidR="006A77A6" w:rsidRPr="00C45CB9" w:rsidRDefault="006A77A6" w:rsidP="006F1B02">
      <w:pPr>
        <w:jc w:val="both"/>
        <w:textAlignment w:val="baseline"/>
        <w:rPr>
          <w:rFonts w:ascii="Helvetica" w:hAnsi="Helvetica"/>
          <w:sz w:val="22"/>
          <w:szCs w:val="22"/>
          <w:lang w:val="en"/>
        </w:rPr>
      </w:pPr>
      <w:r w:rsidRPr="009B5A0E">
        <w:rPr>
          <w:rFonts w:ascii="Helvetica" w:hAnsi="Helvetica"/>
          <w:sz w:val="22"/>
          <w:szCs w:val="22"/>
          <w:lang w:val="en"/>
        </w:rPr>
        <w:t xml:space="preserve">Working primarily with the ULSG, VAP will strengthen its engagement in the development and adoption of the Code on Local Self-Governance. The activity will reinforce the role of local budget transparency in the code, and specify the criteria for inclusive, participatory budgeting. </w:t>
      </w:r>
      <w:r w:rsidR="00713C49" w:rsidRPr="009B5A0E">
        <w:rPr>
          <w:rFonts w:ascii="Helvetica" w:hAnsi="Helvetica"/>
          <w:sz w:val="22"/>
          <w:szCs w:val="22"/>
          <w:lang w:val="en"/>
        </w:rPr>
        <w:t>As a follow-on activity, VAP will c</w:t>
      </w:r>
      <w:r w:rsidRPr="009B5A0E">
        <w:rPr>
          <w:rFonts w:ascii="Helvetica" w:hAnsi="Helvetica"/>
          <w:sz w:val="22"/>
          <w:szCs w:val="22"/>
          <w:lang w:val="en"/>
        </w:rPr>
        <w:t xml:space="preserve">o-deliver with ULSG an information campaign for </w:t>
      </w:r>
      <w:r w:rsidR="00713C49" w:rsidRPr="009B5A0E">
        <w:rPr>
          <w:rFonts w:ascii="Helvetica" w:hAnsi="Helvetica"/>
          <w:sz w:val="22"/>
          <w:szCs w:val="22"/>
          <w:lang w:val="en"/>
        </w:rPr>
        <w:t xml:space="preserve">LSGs, </w:t>
      </w:r>
      <w:r w:rsidRPr="009B5A0E">
        <w:rPr>
          <w:rFonts w:ascii="Helvetica" w:hAnsi="Helvetica"/>
          <w:sz w:val="22"/>
          <w:szCs w:val="22"/>
          <w:lang w:val="en"/>
        </w:rPr>
        <w:t>citizens</w:t>
      </w:r>
      <w:r w:rsidR="00713C49" w:rsidRPr="009B5A0E">
        <w:rPr>
          <w:rFonts w:ascii="Helvetica" w:hAnsi="Helvetica"/>
          <w:sz w:val="22"/>
          <w:szCs w:val="22"/>
          <w:lang w:val="en"/>
        </w:rPr>
        <w:t xml:space="preserve"> and local communities</w:t>
      </w:r>
      <w:r w:rsidRPr="009B5A0E">
        <w:rPr>
          <w:rFonts w:ascii="Helvetica" w:hAnsi="Helvetica"/>
          <w:sz w:val="22"/>
          <w:szCs w:val="22"/>
          <w:lang w:val="en"/>
        </w:rPr>
        <w:t xml:space="preserve"> in order to popularize and enforce the new Code</w:t>
      </w:r>
      <w:r w:rsidR="003E7463">
        <w:rPr>
          <w:rFonts w:ascii="Helvetica" w:hAnsi="Helvetica"/>
          <w:sz w:val="22"/>
          <w:szCs w:val="22"/>
          <w:lang w:val="en"/>
        </w:rPr>
        <w:t>; additional emphasis will be made on the inclusive, gender-responsive and participatory approaches of budgeting</w:t>
      </w:r>
      <w:r w:rsidR="00713C49" w:rsidRPr="009B5A0E">
        <w:rPr>
          <w:rFonts w:ascii="Helvetica" w:hAnsi="Helvetica"/>
          <w:sz w:val="22"/>
          <w:szCs w:val="22"/>
          <w:lang w:val="en"/>
        </w:rPr>
        <w:t>.</w:t>
      </w:r>
      <w:r w:rsidR="00B85FA9" w:rsidRPr="00DF7CD9">
        <w:rPr>
          <w:rFonts w:ascii="Helvetica" w:hAnsi="Helvetica"/>
          <w:sz w:val="22"/>
          <w:szCs w:val="22"/>
          <w:lang w:val="en"/>
        </w:rPr>
        <w:t xml:space="preserve"> </w:t>
      </w:r>
      <w:r w:rsidR="00DF7CD9" w:rsidRPr="00C45CB9">
        <w:rPr>
          <w:rFonts w:ascii="Helvetica" w:hAnsi="Helvetica"/>
          <w:sz w:val="22"/>
          <w:szCs w:val="22"/>
          <w:lang w:val="en"/>
        </w:rPr>
        <w:t>The campaign will be conducted taking into account the epidemiological situation either offline or online. In any case, the Portal will take part in it.</w:t>
      </w:r>
    </w:p>
    <w:p w14:paraId="33DABBEB" w14:textId="77777777" w:rsidR="006F1B02" w:rsidRPr="00C45CB9" w:rsidRDefault="006F1B02" w:rsidP="006F1B02">
      <w:pPr>
        <w:jc w:val="both"/>
        <w:textAlignment w:val="baseline"/>
        <w:rPr>
          <w:rFonts w:ascii="Helvetica" w:hAnsi="Helvetica"/>
          <w:sz w:val="22"/>
          <w:szCs w:val="22"/>
          <w:lang w:val="en-US"/>
        </w:rPr>
      </w:pPr>
    </w:p>
    <w:p w14:paraId="6968030E" w14:textId="77777777" w:rsidR="006A77A6" w:rsidRPr="009B5A0E" w:rsidRDefault="00713C49" w:rsidP="006F1B02">
      <w:pPr>
        <w:jc w:val="both"/>
        <w:textAlignment w:val="baseline"/>
        <w:rPr>
          <w:rFonts w:ascii="Helvetica" w:hAnsi="Helvetica"/>
          <w:sz w:val="22"/>
          <w:szCs w:val="22"/>
        </w:rPr>
      </w:pPr>
      <w:r w:rsidRPr="009B5A0E">
        <w:rPr>
          <w:rFonts w:ascii="Helvetica" w:hAnsi="Helvetica"/>
          <w:sz w:val="22"/>
          <w:szCs w:val="22"/>
          <w:lang w:val="en"/>
        </w:rPr>
        <w:t>Building on earlier recognition and discussions, j</w:t>
      </w:r>
      <w:r w:rsidR="006A77A6" w:rsidRPr="009B5A0E">
        <w:rPr>
          <w:rFonts w:ascii="Helvetica" w:hAnsi="Helvetica"/>
          <w:sz w:val="22"/>
          <w:szCs w:val="22"/>
          <w:lang w:val="en"/>
        </w:rPr>
        <w:t>ointly with ULSG</w:t>
      </w:r>
      <w:r w:rsidRPr="009B5A0E">
        <w:rPr>
          <w:rFonts w:ascii="Helvetica" w:hAnsi="Helvetica"/>
          <w:sz w:val="22"/>
          <w:szCs w:val="22"/>
          <w:lang w:val="en"/>
        </w:rPr>
        <w:t xml:space="preserve"> VAP will</w:t>
      </w:r>
      <w:r w:rsidR="006A77A6" w:rsidRPr="009B5A0E">
        <w:rPr>
          <w:rFonts w:ascii="Helvetica" w:hAnsi="Helvetica"/>
          <w:sz w:val="22"/>
          <w:szCs w:val="22"/>
          <w:lang w:val="en"/>
        </w:rPr>
        <w:t xml:space="preserve"> promote </w:t>
      </w:r>
      <w:r w:rsidRPr="009B5A0E">
        <w:rPr>
          <w:rFonts w:ascii="Helvetica" w:hAnsi="Helvetica"/>
          <w:sz w:val="22"/>
          <w:szCs w:val="22"/>
          <w:lang w:val="en"/>
        </w:rPr>
        <w:t xml:space="preserve">national </w:t>
      </w:r>
      <w:r w:rsidR="006A77A6" w:rsidRPr="009B5A0E">
        <w:rPr>
          <w:rFonts w:ascii="Helvetica" w:hAnsi="Helvetica"/>
          <w:sz w:val="22"/>
          <w:szCs w:val="22"/>
          <w:lang w:val="en"/>
        </w:rPr>
        <w:t>policy alignment with the</w:t>
      </w:r>
      <w:r w:rsidRPr="009B5A0E">
        <w:rPr>
          <w:rFonts w:ascii="Helvetica" w:hAnsi="Helvetica"/>
          <w:sz w:val="22"/>
          <w:szCs w:val="22"/>
          <w:lang w:val="en"/>
        </w:rPr>
        <w:t xml:space="preserve"> key norms and principles of the</w:t>
      </w:r>
      <w:r w:rsidR="006A77A6" w:rsidRPr="009B5A0E">
        <w:rPr>
          <w:rFonts w:ascii="Helvetica" w:hAnsi="Helvetica"/>
          <w:sz w:val="22"/>
          <w:szCs w:val="22"/>
          <w:lang w:val="en"/>
        </w:rPr>
        <w:t xml:space="preserve"> European Charter of Local Self-Government</w:t>
      </w:r>
      <w:r w:rsidRPr="009B5A0E">
        <w:rPr>
          <w:rFonts w:ascii="Helvetica" w:hAnsi="Helvetica"/>
          <w:sz w:val="22"/>
          <w:szCs w:val="22"/>
          <w:lang w:val="en"/>
        </w:rPr>
        <w:t>.</w:t>
      </w:r>
      <w:r w:rsidR="00095CE2" w:rsidRPr="009B5A0E">
        <w:rPr>
          <w:rStyle w:val="af"/>
          <w:rFonts w:ascii="Helvetica" w:hAnsi="Helvetica"/>
          <w:sz w:val="22"/>
          <w:szCs w:val="22"/>
          <w:lang w:val="en"/>
        </w:rPr>
        <w:footnoteReference w:id="3"/>
      </w:r>
      <w:r w:rsidRPr="009B5A0E">
        <w:rPr>
          <w:rFonts w:ascii="Helvetica" w:hAnsi="Helvetica"/>
          <w:sz w:val="22"/>
          <w:szCs w:val="22"/>
          <w:lang w:val="en"/>
        </w:rPr>
        <w:t xml:space="preserve"> </w:t>
      </w:r>
      <w:r w:rsidR="00095CE2" w:rsidRPr="009B5A0E">
        <w:rPr>
          <w:rFonts w:ascii="Helvetica" w:hAnsi="Helvetica"/>
          <w:sz w:val="22"/>
          <w:szCs w:val="22"/>
          <w:lang w:val="en"/>
        </w:rPr>
        <w:t>If the Kyrgyz Republic officially adopts the Charter, it will provide a substantial new base for monitoring and benchmarking of local governance. Through periodic country reports, country visits, local elections monitoring and validation of some of the principles of the Charter, the instrument provides</w:t>
      </w:r>
      <w:r w:rsidR="001A5268" w:rsidRPr="009B5A0E">
        <w:rPr>
          <w:rFonts w:ascii="Helvetica" w:hAnsi="Helvetica"/>
          <w:sz w:val="22"/>
          <w:szCs w:val="22"/>
          <w:lang w:val="en"/>
        </w:rPr>
        <w:t xml:space="preserve"> an impetus for high-profile national attention and recognition of LSG reform priorities. </w:t>
      </w:r>
      <w:r w:rsidR="009F4580">
        <w:rPr>
          <w:rFonts w:ascii="Helvetica" w:hAnsi="Helvetica"/>
          <w:sz w:val="22"/>
          <w:szCs w:val="22"/>
          <w:lang w:val="en"/>
        </w:rPr>
        <w:t xml:space="preserve">As such, this instrument will help identify and remove the existing barriers for inclusive and gender-responsive LSG governance. </w:t>
      </w:r>
    </w:p>
    <w:p w14:paraId="564A2460" w14:textId="77777777" w:rsidR="006F1B02" w:rsidRPr="009B5A0E" w:rsidRDefault="006F1B02" w:rsidP="006F1B02">
      <w:pPr>
        <w:jc w:val="both"/>
        <w:textAlignment w:val="baseline"/>
        <w:rPr>
          <w:rFonts w:ascii="Helvetica" w:hAnsi="Helvetica"/>
          <w:sz w:val="22"/>
          <w:szCs w:val="22"/>
          <w:lang w:val="en"/>
        </w:rPr>
      </w:pPr>
    </w:p>
    <w:p w14:paraId="75624D1D" w14:textId="77777777" w:rsidR="006A77A6" w:rsidRDefault="00713C49" w:rsidP="006F1B02">
      <w:pPr>
        <w:jc w:val="both"/>
        <w:textAlignment w:val="baseline"/>
        <w:rPr>
          <w:rFonts w:ascii="Helvetica" w:hAnsi="Helvetica"/>
          <w:sz w:val="22"/>
          <w:szCs w:val="22"/>
          <w:lang w:val="en"/>
        </w:rPr>
      </w:pPr>
      <w:r w:rsidRPr="009B5A0E">
        <w:rPr>
          <w:rFonts w:ascii="Helvetica" w:hAnsi="Helvetica"/>
          <w:sz w:val="22"/>
          <w:szCs w:val="22"/>
          <w:lang w:val="en"/>
        </w:rPr>
        <w:t>In order to</w:t>
      </w:r>
      <w:r w:rsidRPr="009B5A0E">
        <w:rPr>
          <w:rFonts w:ascii="Helvetica" w:hAnsi="Helvetica"/>
          <w:sz w:val="22"/>
          <w:szCs w:val="22"/>
        </w:rPr>
        <w:t xml:space="preserve"> strengthen the financial stability of LSGs and consideration of the needs of local communities in national planning,</w:t>
      </w:r>
      <w:r w:rsidRPr="009B5A0E">
        <w:rPr>
          <w:rFonts w:ascii="Helvetica" w:hAnsi="Helvetica"/>
          <w:sz w:val="22"/>
          <w:szCs w:val="22"/>
          <w:lang w:val="en"/>
        </w:rPr>
        <w:t xml:space="preserve"> the project will f</w:t>
      </w:r>
      <w:r w:rsidR="006A77A6" w:rsidRPr="009B5A0E">
        <w:rPr>
          <w:rFonts w:ascii="Helvetica" w:hAnsi="Helvetica"/>
          <w:sz w:val="22"/>
          <w:szCs w:val="22"/>
          <w:lang w:val="en"/>
        </w:rPr>
        <w:t xml:space="preserve">acilitate ULSG’s advocacy </w:t>
      </w:r>
      <w:r w:rsidRPr="009B5A0E">
        <w:rPr>
          <w:rFonts w:ascii="Helvetica" w:hAnsi="Helvetica"/>
          <w:sz w:val="22"/>
          <w:szCs w:val="22"/>
          <w:lang w:val="en"/>
        </w:rPr>
        <w:t>in relation to</w:t>
      </w:r>
      <w:r w:rsidR="006A77A6" w:rsidRPr="009B5A0E">
        <w:rPr>
          <w:rFonts w:ascii="Helvetica" w:hAnsi="Helvetica"/>
          <w:sz w:val="22"/>
          <w:szCs w:val="22"/>
          <w:lang w:val="en"/>
        </w:rPr>
        <w:t xml:space="preserve"> the Draft Law on Inter-budgetary Dialogue</w:t>
      </w:r>
      <w:r w:rsidRPr="009B5A0E">
        <w:rPr>
          <w:rFonts w:ascii="Helvetica" w:hAnsi="Helvetica"/>
          <w:sz w:val="22"/>
          <w:szCs w:val="22"/>
          <w:lang w:val="en"/>
        </w:rPr>
        <w:t xml:space="preserve">. This will help improve the predictability of local </w:t>
      </w:r>
      <w:r w:rsidR="00BD349D" w:rsidRPr="009B5A0E">
        <w:rPr>
          <w:rFonts w:ascii="Helvetica" w:hAnsi="Helvetica"/>
          <w:sz w:val="22"/>
          <w:szCs w:val="22"/>
          <w:lang w:val="en"/>
        </w:rPr>
        <w:t>revenues and</w:t>
      </w:r>
      <w:r w:rsidRPr="009B5A0E">
        <w:rPr>
          <w:rFonts w:ascii="Helvetica" w:hAnsi="Helvetica"/>
          <w:sz w:val="22"/>
          <w:szCs w:val="22"/>
          <w:lang w:val="en"/>
        </w:rPr>
        <w:t xml:space="preserve"> pr</w:t>
      </w:r>
      <w:r w:rsidR="00BD349D" w:rsidRPr="009B5A0E">
        <w:rPr>
          <w:rFonts w:ascii="Helvetica" w:hAnsi="Helvetica"/>
          <w:sz w:val="22"/>
          <w:szCs w:val="22"/>
          <w:lang w:val="en"/>
        </w:rPr>
        <w:t>omote</w:t>
      </w:r>
      <w:r w:rsidRPr="009B5A0E">
        <w:rPr>
          <w:rFonts w:ascii="Helvetica" w:hAnsi="Helvetica"/>
          <w:sz w:val="22"/>
          <w:szCs w:val="22"/>
          <w:lang w:val="en"/>
        </w:rPr>
        <w:t xml:space="preserve"> a more transparent</w:t>
      </w:r>
      <w:r w:rsidR="00BD349D" w:rsidRPr="009B5A0E">
        <w:rPr>
          <w:rFonts w:ascii="Helvetica" w:hAnsi="Helvetica"/>
          <w:sz w:val="22"/>
          <w:szCs w:val="22"/>
          <w:lang w:val="en"/>
        </w:rPr>
        <w:t xml:space="preserve"> process</w:t>
      </w:r>
      <w:r w:rsidRPr="009B5A0E">
        <w:rPr>
          <w:rFonts w:ascii="Helvetica" w:hAnsi="Helvetica"/>
          <w:sz w:val="22"/>
          <w:szCs w:val="22"/>
          <w:lang w:val="en"/>
        </w:rPr>
        <w:t xml:space="preserve"> </w:t>
      </w:r>
      <w:r w:rsidR="00BD349D" w:rsidRPr="009B5A0E">
        <w:rPr>
          <w:rFonts w:ascii="Helvetica" w:hAnsi="Helvetica"/>
          <w:sz w:val="22"/>
          <w:szCs w:val="22"/>
          <w:lang w:val="en"/>
        </w:rPr>
        <w:t xml:space="preserve">of equalizing and stimulating fund allocations. </w:t>
      </w:r>
    </w:p>
    <w:p w14:paraId="4223D0C6" w14:textId="77777777" w:rsidR="00F9117B" w:rsidRPr="009B5A0E" w:rsidRDefault="00F9117B" w:rsidP="006F1B02">
      <w:pPr>
        <w:jc w:val="both"/>
        <w:textAlignment w:val="baseline"/>
        <w:rPr>
          <w:rFonts w:ascii="Helvetica" w:hAnsi="Helvetica"/>
          <w:sz w:val="22"/>
          <w:szCs w:val="22"/>
          <w:lang w:val="en"/>
        </w:rPr>
      </w:pPr>
    </w:p>
    <w:p w14:paraId="59CC258F" w14:textId="487ABEFF" w:rsidR="00C72B0A" w:rsidRPr="009365F7" w:rsidRDefault="00BD349D" w:rsidP="00BD349D">
      <w:pPr>
        <w:jc w:val="both"/>
        <w:textAlignment w:val="baseline"/>
        <w:rPr>
          <w:rFonts w:asciiTheme="minorHAnsi" w:hAnsiTheme="minorHAnsi"/>
          <w:sz w:val="22"/>
          <w:szCs w:val="22"/>
          <w:lang w:val="en-US"/>
        </w:rPr>
      </w:pPr>
      <w:r w:rsidRPr="009B5A0E">
        <w:rPr>
          <w:rFonts w:ascii="Helvetica" w:hAnsi="Helvetica"/>
          <w:sz w:val="22"/>
          <w:szCs w:val="22"/>
          <w:lang w:val="en"/>
        </w:rPr>
        <w:t xml:space="preserve">Under this output, VAP will place a strong emphasis to setting the expectations for a genuinely representative, inclusive, and responsive local budgetary process. Building on its existing </w:t>
      </w:r>
      <w:r w:rsidRPr="009B5A0E">
        <w:rPr>
          <w:rFonts w:ascii="Helvetica" w:hAnsi="Helvetica"/>
          <w:sz w:val="22"/>
          <w:szCs w:val="22"/>
          <w:lang w:val="en"/>
        </w:rPr>
        <w:lastRenderedPageBreak/>
        <w:t xml:space="preserve">gender-sensitive guidance for LSGs, additional measures will be taken to focus the national partners on consideration of the needs of all members of local community, including through the lens of gender-responsive budgeting. </w:t>
      </w:r>
    </w:p>
    <w:p w14:paraId="6CB37D2E" w14:textId="77777777" w:rsidR="000C5B09" w:rsidRPr="00992554" w:rsidRDefault="000C5B09" w:rsidP="00BD349D">
      <w:pPr>
        <w:jc w:val="both"/>
        <w:textAlignment w:val="baseline"/>
        <w:rPr>
          <w:rFonts w:ascii="Helvetica" w:hAnsi="Helvetica"/>
          <w:sz w:val="22"/>
          <w:szCs w:val="22"/>
        </w:rPr>
      </w:pPr>
    </w:p>
    <w:p w14:paraId="3CD6472C" w14:textId="77777777" w:rsidR="00473524" w:rsidRPr="009B5A0E" w:rsidRDefault="00BD349D" w:rsidP="00BD349D">
      <w:pPr>
        <w:jc w:val="both"/>
        <w:textAlignment w:val="baseline"/>
        <w:rPr>
          <w:rFonts w:ascii="Helvetica" w:hAnsi="Helvetica"/>
          <w:sz w:val="22"/>
          <w:szCs w:val="22"/>
          <w:lang w:val="en"/>
        </w:rPr>
      </w:pPr>
      <w:r w:rsidRPr="009B5A0E">
        <w:rPr>
          <w:rFonts w:ascii="Helvetica" w:hAnsi="Helvetica"/>
          <w:sz w:val="22"/>
          <w:szCs w:val="22"/>
          <w:lang w:val="en"/>
        </w:rPr>
        <w:t xml:space="preserve">In particular, VAP will integrate in its advocacy recommendations the insights from the gender-responsive budgeting approach, piloted by the UN Women and NDI in 2013-2015. </w:t>
      </w:r>
      <w:r w:rsidR="006F1B02" w:rsidRPr="009B5A0E">
        <w:rPr>
          <w:rFonts w:ascii="Helvetica" w:hAnsi="Helvetica"/>
          <w:sz w:val="22"/>
          <w:szCs w:val="22"/>
          <w:lang w:val="en"/>
        </w:rPr>
        <w:t xml:space="preserve">Considering the limitations of current data collection by the LSGs in relation to gender-responsive budgeting, VAP will support a qualitative </w:t>
      </w:r>
      <w:r w:rsidR="006A77A6" w:rsidRPr="009B5A0E">
        <w:rPr>
          <w:rFonts w:ascii="Helvetica" w:hAnsi="Helvetica"/>
          <w:sz w:val="22"/>
          <w:szCs w:val="22"/>
          <w:lang w:val="en"/>
        </w:rPr>
        <w:t>case study on inclusiveness and participation in local decision-making</w:t>
      </w:r>
      <w:r w:rsidR="006F1B02" w:rsidRPr="009B5A0E">
        <w:rPr>
          <w:rFonts w:ascii="Helvetica" w:hAnsi="Helvetica"/>
          <w:sz w:val="22"/>
          <w:szCs w:val="22"/>
          <w:lang w:val="en"/>
        </w:rPr>
        <w:t xml:space="preserve"> of all local residents, with particular attention to vulnerable, marginalized and effectively disenfranchised groups.</w:t>
      </w:r>
      <w:r w:rsidR="00906587" w:rsidRPr="009B5A0E">
        <w:rPr>
          <w:rFonts w:ascii="Helvetica" w:hAnsi="Helvetica"/>
          <w:sz w:val="22"/>
          <w:szCs w:val="22"/>
          <w:lang w:val="en"/>
        </w:rPr>
        <w:t xml:space="preserve"> </w:t>
      </w:r>
    </w:p>
    <w:p w14:paraId="03752766" w14:textId="77777777" w:rsidR="00473524" w:rsidRPr="009B5A0E" w:rsidRDefault="00473524" w:rsidP="00BD349D">
      <w:pPr>
        <w:jc w:val="both"/>
        <w:textAlignment w:val="baseline"/>
        <w:rPr>
          <w:rFonts w:ascii="Helvetica" w:hAnsi="Helvetica"/>
          <w:sz w:val="22"/>
          <w:szCs w:val="22"/>
          <w:lang w:val="en"/>
        </w:rPr>
      </w:pPr>
    </w:p>
    <w:p w14:paraId="40752150" w14:textId="296DA322" w:rsidR="001521D0" w:rsidRDefault="00906587" w:rsidP="00BD349D">
      <w:pPr>
        <w:jc w:val="both"/>
        <w:textAlignment w:val="baseline"/>
        <w:rPr>
          <w:rFonts w:ascii="Helvetica" w:hAnsi="Helvetica"/>
          <w:sz w:val="22"/>
          <w:szCs w:val="22"/>
          <w:lang w:val="en"/>
        </w:rPr>
      </w:pPr>
      <w:r w:rsidRPr="009B5A0E">
        <w:rPr>
          <w:rFonts w:ascii="Helvetica" w:hAnsi="Helvetica"/>
          <w:sz w:val="22"/>
          <w:szCs w:val="22"/>
          <w:lang w:val="en"/>
        </w:rPr>
        <w:t xml:space="preserve">Additional reviews will be held to identify scope for </w:t>
      </w:r>
      <w:r w:rsidR="00473524" w:rsidRPr="009B5A0E">
        <w:rPr>
          <w:rFonts w:ascii="Helvetica" w:hAnsi="Helvetica"/>
          <w:sz w:val="22"/>
          <w:szCs w:val="22"/>
          <w:lang w:val="en"/>
        </w:rPr>
        <w:t xml:space="preserve">methodological materials that further expand, clarify and operationalize the meaning of inclusive, gender-sensitive budgetary planning. Such clear guidance for engaging different groups of underrepresented and traditionally excluded citizens will be developed with both the urban, semi-urban and rural settings in mind.  </w:t>
      </w:r>
    </w:p>
    <w:p w14:paraId="6E1816C1" w14:textId="77777777" w:rsidR="00B93806" w:rsidRDefault="00B93806" w:rsidP="00BD349D">
      <w:pPr>
        <w:jc w:val="both"/>
        <w:textAlignment w:val="baseline"/>
        <w:rPr>
          <w:rFonts w:ascii="Helvetica" w:hAnsi="Helvetica"/>
          <w:sz w:val="22"/>
          <w:szCs w:val="22"/>
          <w:lang w:val="en"/>
        </w:rPr>
      </w:pPr>
    </w:p>
    <w:p w14:paraId="7BF0216B" w14:textId="2A2B11DA" w:rsidR="00B93806" w:rsidRPr="00C45CB9" w:rsidRDefault="00B93806" w:rsidP="00BD349D">
      <w:pPr>
        <w:jc w:val="both"/>
        <w:textAlignment w:val="baseline"/>
        <w:rPr>
          <w:rFonts w:ascii="Helvetica" w:hAnsi="Helvetica"/>
          <w:sz w:val="22"/>
          <w:szCs w:val="22"/>
          <w:lang w:val="en"/>
        </w:rPr>
      </w:pPr>
      <w:r w:rsidRPr="00C45CB9">
        <w:rPr>
          <w:rFonts w:ascii="Helvetica" w:hAnsi="Helvetica"/>
          <w:sz w:val="22"/>
          <w:szCs w:val="22"/>
          <w:lang w:val="en"/>
        </w:rPr>
        <w:t xml:space="preserve">In delivering the activities under this output, VAP will recognize that the task of improving legal and regulatory process is a continuous, and iterative process, which cannot be conclusively finalized within the Exit Phase framework. Still, these activities will support the actors in adopting such an approach that assigns importance to viewing it as a cycle of proactive, practical review of rules, their continued refining and most importantly, enforcement (feeding back to review). </w:t>
      </w:r>
    </w:p>
    <w:p w14:paraId="55A3A9BB" w14:textId="77777777" w:rsidR="00A953C4" w:rsidRPr="009B5A0E" w:rsidRDefault="00A953C4" w:rsidP="00CF52EE">
      <w:pPr>
        <w:jc w:val="both"/>
        <w:textAlignment w:val="baseline"/>
        <w:rPr>
          <w:rFonts w:ascii="Helvetica" w:hAnsi="Helvetica"/>
          <w:color w:val="000000"/>
          <w:sz w:val="22"/>
          <w:szCs w:val="22"/>
          <w:lang w:val="en-US"/>
        </w:rPr>
      </w:pPr>
    </w:p>
    <w:p w14:paraId="02B3406E" w14:textId="77777777" w:rsidR="00CF52EE" w:rsidRPr="009B5A0E" w:rsidRDefault="00CF52EE" w:rsidP="00CF52EE">
      <w:pPr>
        <w:jc w:val="both"/>
        <w:textAlignment w:val="baseline"/>
        <w:rPr>
          <w:rFonts w:ascii="Helvetica" w:hAnsi="Helvetica"/>
          <w:b/>
          <w:bCs/>
          <w:i/>
          <w:iCs/>
          <w:color w:val="000000"/>
          <w:sz w:val="22"/>
          <w:szCs w:val="22"/>
          <w:lang w:val="en"/>
        </w:rPr>
      </w:pPr>
      <w:r w:rsidRPr="009B5A0E">
        <w:rPr>
          <w:rFonts w:ascii="Helvetica" w:hAnsi="Helvetica"/>
          <w:b/>
          <w:bCs/>
          <w:i/>
          <w:iCs/>
          <w:color w:val="000000"/>
          <w:sz w:val="22"/>
          <w:szCs w:val="22"/>
          <w:lang w:val="en"/>
        </w:rPr>
        <w:t xml:space="preserve">Output 2.2. </w:t>
      </w:r>
      <w:r w:rsidRPr="009B5A0E">
        <w:rPr>
          <w:rFonts w:ascii="Helvetica" w:hAnsi="Helvetica"/>
          <w:b/>
          <w:bCs/>
          <w:i/>
          <w:iCs/>
          <w:sz w:val="22"/>
          <w:szCs w:val="22"/>
        </w:rPr>
        <w:t xml:space="preserve">National partners are enabled for enforcement of existing participatory budgeting requirements </w:t>
      </w:r>
    </w:p>
    <w:p w14:paraId="31BB791B" w14:textId="77777777" w:rsidR="002C0C00" w:rsidRPr="009B5A0E" w:rsidRDefault="002C0C00" w:rsidP="002C0C00">
      <w:pPr>
        <w:jc w:val="both"/>
        <w:textAlignment w:val="baseline"/>
        <w:rPr>
          <w:rFonts w:ascii="Helvetica" w:hAnsi="Helvetica"/>
          <w:sz w:val="22"/>
          <w:szCs w:val="22"/>
          <w:lang w:val="en"/>
        </w:rPr>
      </w:pPr>
    </w:p>
    <w:p w14:paraId="0021BCAF" w14:textId="77777777" w:rsidR="00ED6745" w:rsidRPr="009B5A0E" w:rsidRDefault="00C3522C" w:rsidP="00ED6745">
      <w:pPr>
        <w:jc w:val="both"/>
        <w:textAlignment w:val="baseline"/>
        <w:rPr>
          <w:rFonts w:ascii="Helvetica" w:hAnsi="Helvetica"/>
          <w:sz w:val="22"/>
          <w:szCs w:val="22"/>
          <w:lang w:val="en"/>
        </w:rPr>
      </w:pPr>
      <w:r w:rsidRPr="009B5A0E">
        <w:rPr>
          <w:rFonts w:ascii="Helvetica" w:hAnsi="Helvetica"/>
          <w:sz w:val="22"/>
          <w:szCs w:val="22"/>
          <w:lang w:val="en"/>
        </w:rPr>
        <w:t xml:space="preserve">As of 2020, VAP assistance has helped evolve the legislative frameworks to an extent that all LSGs are expected to conduct public budgetary hearings (Chapters 16 and 24 of the 2016 Budget Code, describing the requirements for local councils and LSGs, and specifying the citizen budget and process for hearings). Majority of the LSGs have achieved compliance from 2019 onwards. In order to sustain this </w:t>
      </w:r>
      <w:r w:rsidR="00ED6745" w:rsidRPr="009B5A0E">
        <w:rPr>
          <w:rFonts w:ascii="Helvetica" w:hAnsi="Helvetica"/>
          <w:sz w:val="22"/>
          <w:szCs w:val="22"/>
          <w:lang w:val="en"/>
        </w:rPr>
        <w:t xml:space="preserve">change at compliant LSGs and ensure the non-compliant LSGs (primarily in non-target regions) also conduct public budgetary hearings, VAP will provide support ULSG, SALSGIR and MF in achieving nationwide compliance. This concerted, strategic push during the Exit Phase time period for the participatory and transparent budgeting requirements will take shape of </w:t>
      </w:r>
      <w:r w:rsidR="00CC599D" w:rsidRPr="009B5A0E">
        <w:rPr>
          <w:rFonts w:ascii="Helvetica" w:hAnsi="Helvetica"/>
          <w:sz w:val="22"/>
          <w:szCs w:val="22"/>
          <w:lang w:val="en"/>
        </w:rPr>
        <w:t>several interlinked</w:t>
      </w:r>
      <w:r w:rsidR="00ED6745" w:rsidRPr="009B5A0E">
        <w:rPr>
          <w:rFonts w:ascii="Helvetica" w:hAnsi="Helvetica"/>
          <w:sz w:val="22"/>
          <w:szCs w:val="22"/>
          <w:lang w:val="en"/>
        </w:rPr>
        <w:t xml:space="preserve"> activities</w:t>
      </w:r>
      <w:r w:rsidR="00CC599D" w:rsidRPr="009B5A0E">
        <w:rPr>
          <w:rFonts w:ascii="Helvetica" w:hAnsi="Helvetica"/>
          <w:sz w:val="22"/>
          <w:szCs w:val="22"/>
          <w:lang w:val="en"/>
        </w:rPr>
        <w:t>.</w:t>
      </w:r>
    </w:p>
    <w:p w14:paraId="29502EB6" w14:textId="77777777" w:rsidR="00ED6745" w:rsidRPr="009B5A0E" w:rsidRDefault="00ED6745" w:rsidP="00067B59">
      <w:pPr>
        <w:jc w:val="both"/>
        <w:textAlignment w:val="baseline"/>
        <w:rPr>
          <w:rFonts w:ascii="Helvetica" w:hAnsi="Helvetica"/>
          <w:sz w:val="22"/>
          <w:szCs w:val="22"/>
          <w:lang w:val="en"/>
        </w:rPr>
      </w:pPr>
    </w:p>
    <w:p w14:paraId="041CCB3F" w14:textId="77777777" w:rsidR="00ED6745" w:rsidRPr="009B5A0E" w:rsidRDefault="00ED6745" w:rsidP="00CC599D">
      <w:pPr>
        <w:jc w:val="both"/>
        <w:textAlignment w:val="baseline"/>
        <w:rPr>
          <w:rFonts w:ascii="Helvetica" w:hAnsi="Helvetica"/>
          <w:sz w:val="22"/>
          <w:szCs w:val="22"/>
          <w:lang w:val="en"/>
        </w:rPr>
      </w:pPr>
      <w:r w:rsidRPr="009B5A0E">
        <w:rPr>
          <w:rFonts w:ascii="Helvetica" w:hAnsi="Helvetica"/>
          <w:sz w:val="22"/>
          <w:szCs w:val="22"/>
          <w:lang w:val="en"/>
        </w:rPr>
        <w:t xml:space="preserve">Technical support will be provided to the Ministry of Finance, as the main actor of influence, owing to its </w:t>
      </w:r>
      <w:r w:rsidRPr="009B5A0E">
        <w:rPr>
          <w:rFonts w:ascii="Helvetica" w:hAnsi="Helvetica"/>
          <w:sz w:val="22"/>
          <w:szCs w:val="22"/>
        </w:rPr>
        <w:t xml:space="preserve">budgetary </w:t>
      </w:r>
      <w:r w:rsidRPr="009B5A0E">
        <w:rPr>
          <w:rFonts w:ascii="Helvetica" w:hAnsi="Helvetica"/>
          <w:sz w:val="22"/>
          <w:szCs w:val="22"/>
          <w:lang w:val="en"/>
        </w:rPr>
        <w:t>functions, as well as the ULGS, and SALSGIR in promoting participatory budget processes at non-target municipalities with weak or missing participatory record. This support will help identify the key barriers for compliance and determine a case-by-case structure of incentives and engagement for each LSG.</w:t>
      </w:r>
    </w:p>
    <w:p w14:paraId="5FADEA8E" w14:textId="77777777" w:rsidR="00CC599D" w:rsidRPr="009B5A0E" w:rsidRDefault="00CC599D" w:rsidP="00CC599D">
      <w:pPr>
        <w:jc w:val="both"/>
        <w:textAlignment w:val="baseline"/>
        <w:rPr>
          <w:rFonts w:ascii="Helvetica" w:hAnsi="Helvetica"/>
          <w:sz w:val="22"/>
          <w:szCs w:val="22"/>
          <w:lang w:val="en"/>
        </w:rPr>
      </w:pPr>
    </w:p>
    <w:p w14:paraId="2E0C2C0B" w14:textId="77777777" w:rsidR="00473524" w:rsidRPr="009B5A0E" w:rsidRDefault="00473524" w:rsidP="00473524">
      <w:pPr>
        <w:jc w:val="both"/>
        <w:textAlignment w:val="baseline"/>
        <w:rPr>
          <w:rFonts w:ascii="Helvetica" w:hAnsi="Helvetica"/>
          <w:sz w:val="22"/>
          <w:szCs w:val="22"/>
          <w:lang w:val="en"/>
        </w:rPr>
      </w:pPr>
      <w:r w:rsidRPr="009B5A0E">
        <w:rPr>
          <w:rFonts w:ascii="Helvetica" w:hAnsi="Helvetica"/>
          <w:sz w:val="22"/>
          <w:szCs w:val="22"/>
          <w:lang w:val="en"/>
        </w:rPr>
        <w:t>As a tactical measure, reinforcing national prioritization of local budget transparency and accountability, in coordination with the SIPD project, VAP will advocate for inclusion of local budget hearings in the periodic reports of the Government to Parliament.</w:t>
      </w:r>
    </w:p>
    <w:p w14:paraId="24026F66" w14:textId="77777777" w:rsidR="00473524" w:rsidRPr="009B5A0E" w:rsidRDefault="00473524" w:rsidP="00CC599D">
      <w:pPr>
        <w:jc w:val="both"/>
        <w:textAlignment w:val="baseline"/>
        <w:rPr>
          <w:rFonts w:ascii="Helvetica" w:hAnsi="Helvetica"/>
          <w:sz w:val="22"/>
          <w:szCs w:val="22"/>
          <w:lang w:val="en"/>
        </w:rPr>
      </w:pPr>
    </w:p>
    <w:p w14:paraId="0C7867E3" w14:textId="1764AE98" w:rsidR="00473524" w:rsidRDefault="00ED6745" w:rsidP="00CC599D">
      <w:pPr>
        <w:jc w:val="both"/>
        <w:textAlignment w:val="baseline"/>
        <w:rPr>
          <w:rFonts w:ascii="Helvetica" w:hAnsi="Helvetica"/>
          <w:sz w:val="22"/>
          <w:szCs w:val="22"/>
          <w:lang w:val="en"/>
        </w:rPr>
      </w:pPr>
      <w:r w:rsidRPr="009B5A0E">
        <w:rPr>
          <w:rFonts w:ascii="Helvetica" w:hAnsi="Helvetica"/>
          <w:sz w:val="22"/>
          <w:szCs w:val="22"/>
          <w:lang w:val="en"/>
        </w:rPr>
        <w:t>In parallel,</w:t>
      </w:r>
      <w:r w:rsidR="00CC599D" w:rsidRPr="009B5A0E">
        <w:rPr>
          <w:rFonts w:ascii="Helvetica" w:hAnsi="Helvetica"/>
          <w:sz w:val="22"/>
          <w:szCs w:val="22"/>
          <w:lang w:val="en"/>
        </w:rPr>
        <w:t xml:space="preserve"> under the auspices of the ULGS,</w:t>
      </w:r>
      <w:r w:rsidRPr="009B5A0E">
        <w:rPr>
          <w:rFonts w:ascii="Helvetica" w:hAnsi="Helvetica"/>
          <w:sz w:val="22"/>
          <w:szCs w:val="22"/>
          <w:lang w:val="en"/>
        </w:rPr>
        <w:t xml:space="preserve"> the project will </w:t>
      </w:r>
      <w:r w:rsidR="00CC599D" w:rsidRPr="009B5A0E">
        <w:rPr>
          <w:rFonts w:ascii="Helvetica" w:hAnsi="Helvetica"/>
          <w:sz w:val="22"/>
          <w:szCs w:val="22"/>
          <w:lang w:val="en"/>
        </w:rPr>
        <w:t xml:space="preserve">help </w:t>
      </w:r>
      <w:r w:rsidRPr="009B5A0E">
        <w:rPr>
          <w:rFonts w:ascii="Helvetica" w:hAnsi="Helvetica"/>
          <w:sz w:val="22"/>
          <w:szCs w:val="22"/>
          <w:lang w:val="en"/>
        </w:rPr>
        <w:t xml:space="preserve">organize a national competition “Citizen Participation in Budget Hearings”, which will provide additional opportunity to </w:t>
      </w:r>
      <w:r w:rsidR="00CC599D" w:rsidRPr="009B5A0E">
        <w:rPr>
          <w:rFonts w:ascii="Helvetica" w:hAnsi="Helvetica"/>
          <w:sz w:val="22"/>
          <w:szCs w:val="22"/>
          <w:lang w:val="en"/>
        </w:rPr>
        <w:t>advocate for participatory budget hearings at specific LSGs (those with no or limited track record of budget hearings). As part of this limited initiative, VAP will also promote use and adoption of the online citizen budget model at non-target municipalities and specify a separate gender-responsive budgeting category for participating LSGs. This activity will be facilitated through the Portal of Best Practices. In addition, jointly with SALSGIR, in specific non-target municipalities, where citizen engagement may require additional support, the project will consider co-funding a limited number of</w:t>
      </w:r>
      <w:r w:rsidRPr="009B5A0E">
        <w:rPr>
          <w:rFonts w:ascii="Helvetica" w:hAnsi="Helvetica"/>
          <w:sz w:val="22"/>
          <w:szCs w:val="22"/>
          <w:lang w:val="en"/>
        </w:rPr>
        <w:t xml:space="preserve"> Local Initiatives </w:t>
      </w:r>
      <w:r w:rsidR="00CC599D" w:rsidRPr="009B5A0E">
        <w:rPr>
          <w:rFonts w:ascii="Helvetica" w:hAnsi="Helvetica"/>
          <w:sz w:val="22"/>
          <w:szCs w:val="22"/>
          <w:lang w:val="en"/>
        </w:rPr>
        <w:t>projects</w:t>
      </w:r>
      <w:r w:rsidR="00473524" w:rsidRPr="009B5A0E">
        <w:rPr>
          <w:rFonts w:ascii="Helvetica" w:hAnsi="Helvetica"/>
          <w:sz w:val="22"/>
          <w:szCs w:val="22"/>
          <w:lang w:val="en"/>
        </w:rPr>
        <w:t xml:space="preserve">. </w:t>
      </w:r>
    </w:p>
    <w:p w14:paraId="0C8AAFF3" w14:textId="3F8CAFA1" w:rsidR="009365F7" w:rsidRPr="00C45CB9" w:rsidRDefault="009365F7" w:rsidP="00CC599D">
      <w:pPr>
        <w:jc w:val="both"/>
        <w:textAlignment w:val="baseline"/>
        <w:rPr>
          <w:rFonts w:ascii="Helvetica" w:hAnsi="Helvetica"/>
          <w:sz w:val="22"/>
          <w:szCs w:val="22"/>
          <w:lang w:val="en"/>
        </w:rPr>
      </w:pPr>
    </w:p>
    <w:p w14:paraId="2FA2DB29" w14:textId="2EAF8653" w:rsidR="000C4623" w:rsidRPr="00C45CB9" w:rsidRDefault="009365F7" w:rsidP="00DF7CD9">
      <w:pPr>
        <w:jc w:val="both"/>
        <w:textAlignment w:val="baseline"/>
        <w:rPr>
          <w:rFonts w:ascii="Helvetica" w:hAnsi="Helvetica"/>
          <w:sz w:val="22"/>
          <w:szCs w:val="22"/>
        </w:rPr>
      </w:pPr>
      <w:r w:rsidRPr="00C45CB9">
        <w:rPr>
          <w:rFonts w:ascii="Helvetica" w:hAnsi="Helvetica"/>
          <w:sz w:val="22"/>
          <w:szCs w:val="22"/>
        </w:rPr>
        <w:t xml:space="preserve">As an additional measure that supports the </w:t>
      </w:r>
      <w:r w:rsidR="00D96E2C" w:rsidRPr="00C45CB9">
        <w:rPr>
          <w:rFonts w:ascii="Helvetica" w:hAnsi="Helvetica"/>
          <w:sz w:val="22"/>
          <w:szCs w:val="22"/>
        </w:rPr>
        <w:t>enforcement of existing frameworks, ahead of the Spring 2021 local elections, VAP plans to hold a Leadership School for young women intending to run in the elections for the seats in local councils. In addition to general personal development workshops in leadership, communications and networking, the School will provide foundational training in municipal governance, existing policy frameworks, local community and civic engagement, and participatory, gender-responsive budgeting. Participants will benefit from this opportunity even if they don’t get elected to local councils, as the experience will be structured to support activity within local women’s initiative groups or community mobilization and monitoring groups.</w:t>
      </w:r>
    </w:p>
    <w:p w14:paraId="15BE76A9" w14:textId="77777777" w:rsidR="001B3AF2" w:rsidRPr="009B5A0E" w:rsidRDefault="00CC599D" w:rsidP="00971B59">
      <w:pPr>
        <w:pStyle w:val="H1"/>
        <w:tabs>
          <w:tab w:val="clear" w:pos="2847"/>
        </w:tabs>
        <w:ind w:left="567" w:hanging="567"/>
      </w:pPr>
      <w:bookmarkStart w:id="6" w:name="_Toc48896052"/>
      <w:r w:rsidRPr="009B5A0E">
        <w:t>Implementing strategy</w:t>
      </w:r>
      <w:bookmarkEnd w:id="6"/>
    </w:p>
    <w:p w14:paraId="46DADECD" w14:textId="77777777" w:rsidR="00F97100" w:rsidRPr="009B5A0E" w:rsidRDefault="001B3AF2" w:rsidP="001E277E">
      <w:pPr>
        <w:jc w:val="both"/>
        <w:textAlignment w:val="baseline"/>
        <w:rPr>
          <w:rFonts w:ascii="Helvetica" w:hAnsi="Helvetica"/>
          <w:color w:val="000000"/>
          <w:sz w:val="22"/>
          <w:szCs w:val="22"/>
        </w:rPr>
      </w:pPr>
      <w:r w:rsidRPr="009B5A0E">
        <w:rPr>
          <w:rFonts w:ascii="Helvetica" w:hAnsi="Helvetica"/>
          <w:color w:val="000000"/>
          <w:sz w:val="22"/>
          <w:szCs w:val="22"/>
        </w:rPr>
        <w:t>In delivering the Exit Phase intervention, the main intention of VAP is to</w:t>
      </w:r>
      <w:r w:rsidR="00F97100" w:rsidRPr="009B5A0E">
        <w:rPr>
          <w:rFonts w:ascii="Helvetica" w:hAnsi="Helvetica"/>
          <w:color w:val="000000"/>
          <w:sz w:val="22"/>
          <w:szCs w:val="22"/>
        </w:rPr>
        <w:t xml:space="preserve"> provide a lasting contribution towards long-run sustainability and nationwide reach and replication of participatory budgetary process</w:t>
      </w:r>
      <w:r w:rsidR="009B290E" w:rsidRPr="009B5A0E">
        <w:rPr>
          <w:rFonts w:ascii="Helvetica" w:hAnsi="Helvetica"/>
          <w:color w:val="000000"/>
          <w:sz w:val="22"/>
          <w:szCs w:val="22"/>
        </w:rPr>
        <w:t>.</w:t>
      </w:r>
      <w:r w:rsidR="00F97100" w:rsidRPr="009B5A0E">
        <w:rPr>
          <w:rFonts w:ascii="Helvetica" w:hAnsi="Helvetica"/>
          <w:color w:val="000000"/>
          <w:sz w:val="22"/>
          <w:szCs w:val="22"/>
        </w:rPr>
        <w:t xml:space="preserve"> </w:t>
      </w:r>
      <w:r w:rsidR="009B290E" w:rsidRPr="009B5A0E">
        <w:rPr>
          <w:rFonts w:ascii="Helvetica" w:hAnsi="Helvetica"/>
          <w:color w:val="000000"/>
          <w:sz w:val="22"/>
          <w:szCs w:val="22"/>
        </w:rPr>
        <w:t>This will be accomplished</w:t>
      </w:r>
      <w:r w:rsidR="00F97100" w:rsidRPr="009B5A0E">
        <w:rPr>
          <w:rFonts w:ascii="Helvetica" w:hAnsi="Helvetica"/>
          <w:color w:val="000000"/>
          <w:sz w:val="22"/>
          <w:szCs w:val="22"/>
        </w:rPr>
        <w:t xml:space="preserve"> while </w:t>
      </w:r>
      <w:r w:rsidRPr="009B5A0E">
        <w:rPr>
          <w:rFonts w:ascii="Helvetica" w:hAnsi="Helvetica"/>
          <w:color w:val="000000"/>
          <w:sz w:val="22"/>
          <w:szCs w:val="22"/>
        </w:rPr>
        <w:t>ensur</w:t>
      </w:r>
      <w:r w:rsidR="00F97100" w:rsidRPr="009B5A0E">
        <w:rPr>
          <w:rFonts w:ascii="Helvetica" w:hAnsi="Helvetica"/>
          <w:color w:val="000000"/>
          <w:sz w:val="22"/>
          <w:szCs w:val="22"/>
        </w:rPr>
        <w:t>ing strong</w:t>
      </w:r>
      <w:r w:rsidRPr="009B5A0E">
        <w:rPr>
          <w:rFonts w:ascii="Helvetica" w:hAnsi="Helvetica"/>
          <w:color w:val="000000"/>
          <w:sz w:val="22"/>
          <w:szCs w:val="22"/>
        </w:rPr>
        <w:t xml:space="preserve"> continuity and coherence with the previous </w:t>
      </w:r>
      <w:r w:rsidR="00F97100" w:rsidRPr="009B5A0E">
        <w:rPr>
          <w:rFonts w:ascii="Helvetica" w:hAnsi="Helvetica"/>
          <w:color w:val="000000"/>
          <w:sz w:val="22"/>
          <w:szCs w:val="22"/>
        </w:rPr>
        <w:t>phases and</w:t>
      </w:r>
      <w:r w:rsidRPr="009B5A0E">
        <w:rPr>
          <w:rFonts w:ascii="Helvetica" w:hAnsi="Helvetica"/>
          <w:color w:val="000000"/>
          <w:sz w:val="22"/>
          <w:szCs w:val="22"/>
        </w:rPr>
        <w:t xml:space="preserve"> build</w:t>
      </w:r>
      <w:r w:rsidR="00F97100" w:rsidRPr="009B5A0E">
        <w:rPr>
          <w:rFonts w:ascii="Helvetica" w:hAnsi="Helvetica"/>
          <w:color w:val="000000"/>
          <w:sz w:val="22"/>
          <w:szCs w:val="22"/>
        </w:rPr>
        <w:t>ing</w:t>
      </w:r>
      <w:r w:rsidRPr="009B5A0E">
        <w:rPr>
          <w:rFonts w:ascii="Helvetica" w:hAnsi="Helvetica"/>
          <w:color w:val="000000"/>
          <w:sz w:val="22"/>
          <w:szCs w:val="22"/>
        </w:rPr>
        <w:t xml:space="preserve"> on the achieved results and lessons learned to date. </w:t>
      </w:r>
    </w:p>
    <w:p w14:paraId="55A23B28" w14:textId="77777777" w:rsidR="00E218F2" w:rsidRPr="009B5A0E" w:rsidRDefault="00E218F2" w:rsidP="001E277E">
      <w:pPr>
        <w:jc w:val="both"/>
        <w:textAlignment w:val="baseline"/>
        <w:rPr>
          <w:rFonts w:ascii="Helvetica" w:hAnsi="Helvetica"/>
          <w:color w:val="000000"/>
          <w:sz w:val="22"/>
          <w:szCs w:val="22"/>
        </w:rPr>
      </w:pPr>
    </w:p>
    <w:p w14:paraId="4BC461D2" w14:textId="3E6F4C5E" w:rsidR="00E218F2" w:rsidRPr="009B5A0E" w:rsidRDefault="00E218F2" w:rsidP="001E277E">
      <w:pPr>
        <w:jc w:val="both"/>
        <w:textAlignment w:val="baseline"/>
        <w:rPr>
          <w:rFonts w:ascii="Helvetica" w:hAnsi="Helvetica"/>
          <w:i/>
          <w:iCs/>
          <w:color w:val="000000"/>
          <w:sz w:val="22"/>
          <w:szCs w:val="22"/>
        </w:rPr>
      </w:pPr>
      <w:r w:rsidRPr="009B5A0E">
        <w:rPr>
          <w:rFonts w:ascii="Helvetica" w:hAnsi="Helvetica"/>
          <w:color w:val="000000"/>
          <w:sz w:val="22"/>
          <w:szCs w:val="22"/>
        </w:rPr>
        <w:t xml:space="preserve">Based on lessons from the previous phases of activity, the Exit Phase will concentrate on determinants that support high rates of acceptance, adoption and improvement among the target audience of LSGs in relation to participatory, accountable and genuinely inclusive local budgetary process. Figure </w:t>
      </w:r>
      <w:r w:rsidR="00964BC5">
        <w:rPr>
          <w:rFonts w:ascii="Helvetica" w:hAnsi="Helvetica"/>
          <w:color w:val="000000"/>
          <w:sz w:val="22"/>
          <w:szCs w:val="22"/>
        </w:rPr>
        <w:t>5</w:t>
      </w:r>
      <w:r w:rsidRPr="009B5A0E">
        <w:rPr>
          <w:rFonts w:ascii="Helvetica" w:hAnsi="Helvetica"/>
          <w:color w:val="000000"/>
          <w:sz w:val="22"/>
          <w:szCs w:val="22"/>
        </w:rPr>
        <w:t xml:space="preserve"> provides an overview of such determinants under four main areas, all addressed in an interlinked manner during the Exit Phase.</w:t>
      </w:r>
    </w:p>
    <w:p w14:paraId="47E98B88" w14:textId="77777777" w:rsidR="00F97100" w:rsidRPr="009B5A0E" w:rsidRDefault="00F97100" w:rsidP="001B3AF2">
      <w:pPr>
        <w:textAlignment w:val="baseline"/>
        <w:rPr>
          <w:rFonts w:ascii="Helvetica" w:hAnsi="Helvetica"/>
          <w:color w:val="000000"/>
          <w:sz w:val="22"/>
          <w:szCs w:val="22"/>
        </w:rPr>
      </w:pPr>
    </w:p>
    <w:p w14:paraId="659ABCDE" w14:textId="77777777" w:rsidR="00DE1B1E" w:rsidRPr="009B5A0E" w:rsidRDefault="001E277E" w:rsidP="00DE1B1E">
      <w:pPr>
        <w:keepNext/>
        <w:textAlignment w:val="baseline"/>
        <w:rPr>
          <w:rFonts w:ascii="Helvetica" w:hAnsi="Helvetica"/>
        </w:rPr>
      </w:pPr>
      <w:r w:rsidRPr="009B5A0E">
        <w:rPr>
          <w:rFonts w:ascii="Helvetica" w:hAnsi="Helvetica"/>
          <w:noProof/>
          <w:sz w:val="22"/>
          <w:szCs w:val="22"/>
          <w:lang w:val="de-CH" w:eastAsia="de-CH"/>
        </w:rPr>
        <w:drawing>
          <wp:inline distT="0" distB="0" distL="0" distR="0" wp14:anchorId="60CA0263" wp14:editId="40CA7BB6">
            <wp:extent cx="5525707" cy="284400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412" t="19210" r="14452" b="9294"/>
                    <a:stretch/>
                  </pic:blipFill>
                  <pic:spPr bwMode="auto">
                    <a:xfrm>
                      <a:off x="0" y="0"/>
                      <a:ext cx="5540664" cy="2851698"/>
                    </a:xfrm>
                    <a:prstGeom prst="rect">
                      <a:avLst/>
                    </a:prstGeom>
                    <a:ln>
                      <a:noFill/>
                    </a:ln>
                    <a:extLst>
                      <a:ext uri="{53640926-AAD7-44D8-BBD7-CCE9431645EC}">
                        <a14:shadowObscured xmlns:a14="http://schemas.microsoft.com/office/drawing/2010/main"/>
                      </a:ext>
                    </a:extLst>
                  </pic:spPr>
                </pic:pic>
              </a:graphicData>
            </a:graphic>
          </wp:inline>
        </w:drawing>
      </w:r>
    </w:p>
    <w:p w14:paraId="7C4C7007" w14:textId="4ED17CDA" w:rsidR="001E277E" w:rsidRPr="009B5A0E" w:rsidRDefault="00DE1B1E" w:rsidP="00DE1B1E">
      <w:pPr>
        <w:pStyle w:val="af1"/>
        <w:rPr>
          <w:rFonts w:ascii="Helvetica" w:hAnsi="Helvetica"/>
          <w:color w:val="000000"/>
          <w:sz w:val="22"/>
          <w:szCs w:val="22"/>
        </w:rPr>
      </w:pPr>
      <w:r w:rsidRPr="009B5A0E">
        <w:rPr>
          <w:rFonts w:ascii="Helvetica" w:hAnsi="Helvetica"/>
        </w:rPr>
        <w:t>Figure</w:t>
      </w:r>
      <w:r w:rsidR="00344778">
        <w:rPr>
          <w:rFonts w:ascii="Helvetica" w:hAnsi="Helvetica"/>
        </w:rPr>
        <w:t xml:space="preserve"> </w:t>
      </w:r>
      <w:r w:rsidR="00964BC5">
        <w:rPr>
          <w:rFonts w:ascii="Helvetica" w:hAnsi="Helvetica"/>
        </w:rPr>
        <w:t>5</w:t>
      </w:r>
      <w:r w:rsidRPr="009B5A0E">
        <w:rPr>
          <w:rFonts w:ascii="Helvetica" w:hAnsi="Helvetica"/>
        </w:rPr>
        <w:t>. Main determinants of success for nationwide replication of participatory budgeting.</w:t>
      </w:r>
    </w:p>
    <w:p w14:paraId="1B72C584" w14:textId="77777777" w:rsidR="001E277E" w:rsidRPr="009B5A0E" w:rsidRDefault="001E277E" w:rsidP="001B3AF2">
      <w:pPr>
        <w:textAlignment w:val="baseline"/>
        <w:rPr>
          <w:rFonts w:ascii="Helvetica" w:hAnsi="Helvetica"/>
          <w:color w:val="000000"/>
          <w:sz w:val="22"/>
          <w:szCs w:val="22"/>
        </w:rPr>
      </w:pPr>
    </w:p>
    <w:p w14:paraId="1D100DEE" w14:textId="10857130" w:rsidR="000B2669" w:rsidRDefault="000B2669" w:rsidP="000B2669">
      <w:pPr>
        <w:jc w:val="both"/>
        <w:rPr>
          <w:rFonts w:ascii="Helvetica" w:eastAsiaTheme="minorHAnsi" w:hAnsi="Helvetica"/>
          <w:sz w:val="22"/>
          <w:szCs w:val="22"/>
          <w:lang w:val="en-US"/>
        </w:rPr>
      </w:pPr>
      <w:r w:rsidRPr="009B5A0E">
        <w:rPr>
          <w:rFonts w:ascii="Helvetica" w:eastAsiaTheme="minorHAnsi" w:hAnsi="Helvetica"/>
          <w:sz w:val="22"/>
          <w:szCs w:val="22"/>
          <w:lang w:val="en-US"/>
        </w:rPr>
        <w:t xml:space="preserve">The main level of operation will be at the macro (work with national-level partners) and </w:t>
      </w:r>
      <w:proofErr w:type="spellStart"/>
      <w:r w:rsidRPr="009B5A0E">
        <w:rPr>
          <w:rFonts w:ascii="Helvetica" w:eastAsiaTheme="minorHAnsi" w:hAnsi="Helvetica"/>
          <w:sz w:val="22"/>
          <w:szCs w:val="22"/>
          <w:lang w:val="en-US"/>
        </w:rPr>
        <w:t>meso</w:t>
      </w:r>
      <w:proofErr w:type="spellEnd"/>
      <w:r w:rsidRPr="009B5A0E">
        <w:rPr>
          <w:rFonts w:ascii="Helvetica" w:eastAsiaTheme="minorHAnsi" w:hAnsi="Helvetica"/>
          <w:sz w:val="22"/>
          <w:szCs w:val="22"/>
          <w:lang w:val="en-US"/>
        </w:rPr>
        <w:t xml:space="preserve"> (work with regional universities, regional units of central bodies), with limited micro, or LSG-level activities. </w:t>
      </w:r>
      <w:r w:rsidRPr="009B5A0E">
        <w:rPr>
          <w:rFonts w:ascii="Helvetica" w:eastAsiaTheme="minorHAnsi" w:hAnsi="Helvetica"/>
          <w:sz w:val="22"/>
          <w:szCs w:val="22"/>
        </w:rPr>
        <w:t>There</w:t>
      </w:r>
      <w:r w:rsidRPr="009B5A0E">
        <w:rPr>
          <w:rFonts w:ascii="Helvetica" w:eastAsiaTheme="minorHAnsi" w:hAnsi="Helvetica"/>
          <w:sz w:val="22"/>
          <w:szCs w:val="22"/>
          <w:lang w:val="en-US"/>
        </w:rPr>
        <w:t xml:space="preserve"> is no specific geographic targeting, unless suggested by the patterns of where the LSGs are showing most “resistance” to participatory budgeting due to a variety of factors. </w:t>
      </w:r>
    </w:p>
    <w:p w14:paraId="6A53FE33" w14:textId="334BDA79" w:rsidR="003A1EF2" w:rsidRDefault="003A1EF2" w:rsidP="000B2669">
      <w:pPr>
        <w:jc w:val="both"/>
        <w:rPr>
          <w:rFonts w:ascii="Helvetica" w:eastAsiaTheme="minorHAnsi" w:hAnsi="Helvetica"/>
          <w:sz w:val="22"/>
          <w:szCs w:val="22"/>
          <w:lang w:val="en-US"/>
        </w:rPr>
      </w:pPr>
    </w:p>
    <w:p w14:paraId="4D2803AC" w14:textId="3FA207C4" w:rsidR="003A1EF2" w:rsidRPr="00F80639" w:rsidRDefault="003A1EF2" w:rsidP="000B2669">
      <w:pPr>
        <w:jc w:val="both"/>
        <w:rPr>
          <w:rFonts w:ascii="Helvetica" w:eastAsiaTheme="minorHAnsi" w:hAnsi="Helvetica"/>
          <w:sz w:val="22"/>
          <w:szCs w:val="22"/>
          <w:lang w:val="en-US"/>
        </w:rPr>
      </w:pPr>
      <w:r w:rsidRPr="00F80639">
        <w:rPr>
          <w:rFonts w:ascii="Helvetica" w:eastAsiaTheme="minorHAnsi" w:hAnsi="Helvetica"/>
          <w:sz w:val="22"/>
          <w:szCs w:val="22"/>
          <w:lang w:val="en-US"/>
        </w:rPr>
        <w:t xml:space="preserve">One of the major contextual influences on implementing strategy in this planned phase will be the COVID-19 public health environment. The project team will monitor and follow established recommended practices that minimize the risks to all participants, partners and beneficiaries of the project, including, but not limited to digital and other alternative means of activity. From </w:t>
      </w:r>
      <w:r w:rsidRPr="00F80639">
        <w:rPr>
          <w:rFonts w:ascii="Helvetica" w:eastAsiaTheme="minorHAnsi" w:hAnsi="Helvetica"/>
          <w:sz w:val="22"/>
          <w:szCs w:val="22"/>
          <w:lang w:val="en-US"/>
        </w:rPr>
        <w:lastRenderedPageBreak/>
        <w:t>programmatic standpoint, the activities listed above will be examined in light of the COVID-19 impact, providing a flexible and adaptable model of intervention.</w:t>
      </w:r>
    </w:p>
    <w:p w14:paraId="0BF3270D" w14:textId="77777777" w:rsidR="000B2669" w:rsidRPr="00992554" w:rsidRDefault="000B2669" w:rsidP="000B2669">
      <w:pPr>
        <w:jc w:val="both"/>
        <w:rPr>
          <w:rFonts w:ascii="Helvetica" w:eastAsiaTheme="minorHAnsi" w:hAnsi="Helvetica"/>
          <w:sz w:val="22"/>
          <w:szCs w:val="22"/>
        </w:rPr>
      </w:pPr>
    </w:p>
    <w:p w14:paraId="0A2DCB0F" w14:textId="77777777" w:rsidR="000B2669" w:rsidRPr="009B5A0E" w:rsidRDefault="000B2669" w:rsidP="000B2669">
      <w:pPr>
        <w:jc w:val="both"/>
        <w:rPr>
          <w:rFonts w:ascii="Helvetica" w:eastAsiaTheme="minorHAnsi" w:hAnsi="Helvetica"/>
          <w:sz w:val="22"/>
          <w:szCs w:val="22"/>
          <w:lang w:val="en-US"/>
        </w:rPr>
      </w:pPr>
      <w:r w:rsidRPr="009B5A0E">
        <w:rPr>
          <w:rFonts w:ascii="Helvetica" w:eastAsiaTheme="minorHAnsi" w:hAnsi="Helvetica"/>
          <w:sz w:val="22"/>
          <w:szCs w:val="22"/>
          <w:lang w:val="en-US"/>
        </w:rPr>
        <w:t xml:space="preserve">VAP will deploy a variety of </w:t>
      </w:r>
      <w:r w:rsidR="00EB6ACC" w:rsidRPr="009B5A0E">
        <w:rPr>
          <w:rFonts w:ascii="Helvetica" w:eastAsiaTheme="minorHAnsi" w:hAnsi="Helvetica"/>
          <w:sz w:val="22"/>
          <w:szCs w:val="22"/>
          <w:lang w:val="en-US"/>
        </w:rPr>
        <w:t xml:space="preserve">programmatic </w:t>
      </w:r>
      <w:r w:rsidRPr="009B5A0E">
        <w:rPr>
          <w:rFonts w:ascii="Helvetica" w:eastAsiaTheme="minorHAnsi" w:hAnsi="Helvetica"/>
          <w:sz w:val="22"/>
          <w:szCs w:val="22"/>
          <w:lang w:val="en-US"/>
        </w:rPr>
        <w:t>approaches in implementing the intended outcomes, with the main types of activities including:</w:t>
      </w:r>
    </w:p>
    <w:p w14:paraId="19D3ADCE" w14:textId="77777777" w:rsidR="000B2669" w:rsidRPr="009B5A0E" w:rsidRDefault="000B2669" w:rsidP="000449F3">
      <w:pPr>
        <w:pStyle w:val="a4"/>
        <w:numPr>
          <w:ilvl w:val="0"/>
          <w:numId w:val="5"/>
        </w:numPr>
        <w:ind w:left="360"/>
        <w:jc w:val="both"/>
        <w:rPr>
          <w:rFonts w:ascii="Helvetica" w:hAnsi="Helvetica"/>
          <w:sz w:val="22"/>
          <w:szCs w:val="22"/>
        </w:rPr>
      </w:pPr>
      <w:r w:rsidRPr="009B5A0E">
        <w:rPr>
          <w:rFonts w:ascii="Helvetica" w:hAnsi="Helvetica"/>
          <w:sz w:val="22"/>
          <w:szCs w:val="22"/>
        </w:rPr>
        <w:t xml:space="preserve">Technical and operational assistance; </w:t>
      </w:r>
    </w:p>
    <w:p w14:paraId="68BF89E1" w14:textId="77777777" w:rsidR="000B2669" w:rsidRPr="009B5A0E" w:rsidRDefault="00EB6ACC" w:rsidP="000449F3">
      <w:pPr>
        <w:pStyle w:val="a4"/>
        <w:numPr>
          <w:ilvl w:val="0"/>
          <w:numId w:val="5"/>
        </w:numPr>
        <w:ind w:left="360"/>
        <w:jc w:val="both"/>
        <w:rPr>
          <w:rFonts w:ascii="Helvetica" w:hAnsi="Helvetica"/>
          <w:sz w:val="22"/>
          <w:szCs w:val="22"/>
        </w:rPr>
      </w:pPr>
      <w:r w:rsidRPr="009B5A0E">
        <w:rPr>
          <w:rFonts w:ascii="Helvetica" w:hAnsi="Helvetica"/>
          <w:sz w:val="22"/>
          <w:szCs w:val="22"/>
        </w:rPr>
        <w:t>A</w:t>
      </w:r>
      <w:r w:rsidR="000B2669" w:rsidRPr="009B5A0E">
        <w:rPr>
          <w:rFonts w:ascii="Helvetica" w:hAnsi="Helvetica"/>
          <w:sz w:val="22"/>
          <w:szCs w:val="22"/>
        </w:rPr>
        <w:t>dvisory support, mentoring and consultations;</w:t>
      </w:r>
    </w:p>
    <w:p w14:paraId="171978F9" w14:textId="77777777" w:rsidR="000B2669" w:rsidRPr="009B5A0E" w:rsidRDefault="00EB6ACC" w:rsidP="000449F3">
      <w:pPr>
        <w:pStyle w:val="a4"/>
        <w:numPr>
          <w:ilvl w:val="0"/>
          <w:numId w:val="5"/>
        </w:numPr>
        <w:ind w:left="360"/>
        <w:jc w:val="both"/>
        <w:rPr>
          <w:rFonts w:ascii="Helvetica" w:hAnsi="Helvetica"/>
          <w:sz w:val="22"/>
          <w:szCs w:val="22"/>
        </w:rPr>
      </w:pPr>
      <w:r w:rsidRPr="009B5A0E">
        <w:rPr>
          <w:rFonts w:ascii="Helvetica" w:hAnsi="Helvetica"/>
          <w:sz w:val="22"/>
          <w:szCs w:val="22"/>
        </w:rPr>
        <w:t>L</w:t>
      </w:r>
      <w:r w:rsidR="000B2669" w:rsidRPr="009B5A0E">
        <w:rPr>
          <w:rFonts w:ascii="Helvetica" w:hAnsi="Helvetica"/>
          <w:sz w:val="22"/>
          <w:szCs w:val="22"/>
        </w:rPr>
        <w:t>egal analyses, reviews, and relevant subject matter expertise;</w:t>
      </w:r>
    </w:p>
    <w:p w14:paraId="4742A214" w14:textId="77777777" w:rsidR="000B2669" w:rsidRPr="009B5A0E" w:rsidRDefault="000B2669" w:rsidP="000449F3">
      <w:pPr>
        <w:pStyle w:val="a4"/>
        <w:numPr>
          <w:ilvl w:val="0"/>
          <w:numId w:val="5"/>
        </w:numPr>
        <w:ind w:left="360"/>
        <w:jc w:val="both"/>
        <w:rPr>
          <w:rFonts w:ascii="Helvetica" w:hAnsi="Helvetica"/>
          <w:sz w:val="22"/>
          <w:szCs w:val="22"/>
        </w:rPr>
      </w:pPr>
      <w:r w:rsidRPr="009B5A0E">
        <w:rPr>
          <w:rFonts w:ascii="Helvetica" w:hAnsi="Helvetica"/>
          <w:sz w:val="22"/>
          <w:szCs w:val="22"/>
        </w:rPr>
        <w:t>Research and analytical support;</w:t>
      </w:r>
    </w:p>
    <w:p w14:paraId="6250A6E4" w14:textId="77777777" w:rsidR="000B2669" w:rsidRPr="009B5A0E" w:rsidRDefault="000B2669" w:rsidP="000449F3">
      <w:pPr>
        <w:pStyle w:val="a4"/>
        <w:numPr>
          <w:ilvl w:val="0"/>
          <w:numId w:val="5"/>
        </w:numPr>
        <w:ind w:left="360"/>
        <w:jc w:val="both"/>
        <w:rPr>
          <w:rFonts w:ascii="Helvetica" w:hAnsi="Helvetica"/>
          <w:sz w:val="22"/>
          <w:szCs w:val="22"/>
        </w:rPr>
      </w:pPr>
      <w:r w:rsidRPr="009B5A0E">
        <w:rPr>
          <w:rFonts w:ascii="Helvetica" w:hAnsi="Helvetica"/>
          <w:sz w:val="22"/>
          <w:szCs w:val="22"/>
        </w:rPr>
        <w:t>Tailored capacity building activities for the staff of national partners;</w:t>
      </w:r>
    </w:p>
    <w:p w14:paraId="4B1F598F" w14:textId="77777777" w:rsidR="000B2669" w:rsidRPr="009B5A0E" w:rsidRDefault="000B2669" w:rsidP="000449F3">
      <w:pPr>
        <w:pStyle w:val="a4"/>
        <w:numPr>
          <w:ilvl w:val="0"/>
          <w:numId w:val="5"/>
        </w:numPr>
        <w:ind w:left="360"/>
        <w:jc w:val="both"/>
        <w:rPr>
          <w:rFonts w:ascii="Helvetica" w:hAnsi="Helvetica"/>
          <w:sz w:val="22"/>
          <w:szCs w:val="22"/>
        </w:rPr>
      </w:pPr>
      <w:r w:rsidRPr="009B5A0E">
        <w:rPr>
          <w:rFonts w:ascii="Helvetica" w:hAnsi="Helvetica"/>
          <w:sz w:val="22"/>
          <w:szCs w:val="22"/>
        </w:rPr>
        <w:t>Support to in-house and public-facing events (roundtables, working group meetings</w:t>
      </w:r>
      <w:r w:rsidR="00EB6ACC" w:rsidRPr="009B5A0E">
        <w:rPr>
          <w:rFonts w:ascii="Helvetica" w:hAnsi="Helvetica"/>
          <w:sz w:val="22"/>
          <w:szCs w:val="22"/>
        </w:rPr>
        <w:t>)</w:t>
      </w:r>
      <w:r w:rsidRPr="009B5A0E">
        <w:rPr>
          <w:rFonts w:ascii="Helvetica" w:hAnsi="Helvetica"/>
          <w:sz w:val="22"/>
          <w:szCs w:val="22"/>
        </w:rPr>
        <w:t>;</w:t>
      </w:r>
    </w:p>
    <w:p w14:paraId="0CBBAFE6" w14:textId="77777777" w:rsidR="000B2669" w:rsidRPr="006147B6" w:rsidRDefault="000B2669" w:rsidP="000449F3">
      <w:pPr>
        <w:pStyle w:val="a4"/>
        <w:numPr>
          <w:ilvl w:val="0"/>
          <w:numId w:val="5"/>
        </w:numPr>
        <w:ind w:left="360"/>
        <w:jc w:val="both"/>
        <w:rPr>
          <w:rFonts w:ascii="Helvetica" w:hAnsi="Helvetica"/>
          <w:sz w:val="22"/>
          <w:szCs w:val="22"/>
        </w:rPr>
      </w:pPr>
      <w:r w:rsidRPr="009B5A0E">
        <w:rPr>
          <w:rFonts w:ascii="Helvetica" w:hAnsi="Helvetica"/>
          <w:sz w:val="22"/>
          <w:szCs w:val="22"/>
        </w:rPr>
        <w:t>Facilitating advocacy, strategic communications and outreach activities.</w:t>
      </w:r>
    </w:p>
    <w:p w14:paraId="1757C214" w14:textId="77777777" w:rsidR="000B2669" w:rsidRPr="00992554" w:rsidRDefault="000B2669" w:rsidP="00B26905">
      <w:pPr>
        <w:jc w:val="both"/>
        <w:rPr>
          <w:rFonts w:ascii="Helvetica" w:eastAsiaTheme="minorHAnsi" w:hAnsi="Helvetica"/>
          <w:sz w:val="22"/>
          <w:szCs w:val="22"/>
        </w:rPr>
      </w:pPr>
    </w:p>
    <w:p w14:paraId="23D6FF41" w14:textId="7240CB14" w:rsidR="00A27DD1" w:rsidRPr="009B5A0E" w:rsidRDefault="00B26905" w:rsidP="00B26905">
      <w:pPr>
        <w:jc w:val="both"/>
        <w:rPr>
          <w:rFonts w:ascii="Helvetica" w:eastAsiaTheme="minorHAnsi" w:hAnsi="Helvetica"/>
          <w:sz w:val="22"/>
          <w:szCs w:val="22"/>
          <w:lang w:val="en-US"/>
        </w:rPr>
      </w:pPr>
      <w:r w:rsidRPr="009B5A0E">
        <w:rPr>
          <w:rFonts w:ascii="Helvetica" w:eastAsiaTheme="minorHAnsi" w:hAnsi="Helvetica"/>
          <w:sz w:val="22"/>
          <w:szCs w:val="22"/>
          <w:lang w:val="en-US"/>
        </w:rPr>
        <w:t xml:space="preserve">The implementing strategy for this final phase deprioritizes programmatic activity in the </w:t>
      </w:r>
      <w:r w:rsidR="00E42BFA" w:rsidRPr="009B5A0E">
        <w:rPr>
          <w:rFonts w:ascii="Helvetica" w:eastAsiaTheme="minorHAnsi" w:hAnsi="Helvetica"/>
          <w:sz w:val="22"/>
          <w:szCs w:val="22"/>
          <w:lang w:val="en-US"/>
        </w:rPr>
        <w:t>“</w:t>
      </w:r>
      <w:r w:rsidRPr="009B5A0E">
        <w:rPr>
          <w:rFonts w:ascii="Helvetica" w:eastAsiaTheme="minorHAnsi" w:hAnsi="Helvetica"/>
          <w:sz w:val="22"/>
          <w:szCs w:val="22"/>
          <w:lang w:val="en-US"/>
        </w:rPr>
        <w:t xml:space="preserve">field”, or direct engagement of LSGs, in favor of effecting changes through institutional intermediaries, in a way that is highly targeted at enabling long-term continuity after the end of project. </w:t>
      </w:r>
      <w:r w:rsidR="00C41E7C" w:rsidRPr="009B5A0E">
        <w:rPr>
          <w:rFonts w:ascii="Helvetica" w:eastAsiaTheme="minorHAnsi" w:hAnsi="Helvetica"/>
          <w:sz w:val="22"/>
          <w:szCs w:val="22"/>
          <w:lang w:val="en-US"/>
        </w:rPr>
        <w:t>Each institution that VAP partners with and supports in this phase has a mandate to assist, oversee, guide and influence all or any of the LSGs in the Kyrgyz Republic.</w:t>
      </w:r>
      <w:r w:rsidR="00E42BFA" w:rsidRPr="009B5A0E">
        <w:rPr>
          <w:rFonts w:ascii="Helvetica" w:eastAsiaTheme="minorHAnsi" w:hAnsi="Helvetica"/>
          <w:sz w:val="22"/>
          <w:szCs w:val="22"/>
          <w:lang w:val="en-US"/>
        </w:rPr>
        <w:t xml:space="preserve"> </w:t>
      </w:r>
    </w:p>
    <w:p w14:paraId="0A0B1CB6" w14:textId="77777777" w:rsidR="007165A0" w:rsidRPr="009B5A0E" w:rsidRDefault="007165A0" w:rsidP="003D2267">
      <w:pPr>
        <w:pStyle w:val="2"/>
        <w:tabs>
          <w:tab w:val="clear" w:pos="567"/>
        </w:tabs>
        <w:ind w:left="720"/>
        <w:rPr>
          <w:rFonts w:ascii="Helvetica" w:eastAsiaTheme="minorHAnsi" w:hAnsi="Helvetica"/>
        </w:rPr>
      </w:pPr>
      <w:bookmarkStart w:id="7" w:name="_Toc48896053"/>
      <w:r w:rsidRPr="009B5A0E">
        <w:rPr>
          <w:rFonts w:ascii="Helvetica" w:eastAsiaTheme="minorHAnsi" w:hAnsi="Helvetica"/>
        </w:rPr>
        <w:t>Institutional engagement approach</w:t>
      </w:r>
      <w:bookmarkEnd w:id="7"/>
    </w:p>
    <w:p w14:paraId="67591927" w14:textId="77777777" w:rsidR="00A0640B" w:rsidRPr="009B5A0E" w:rsidRDefault="007165A0" w:rsidP="007165A0">
      <w:pPr>
        <w:jc w:val="both"/>
        <w:textAlignment w:val="baseline"/>
        <w:rPr>
          <w:rFonts w:ascii="Helvetica" w:hAnsi="Helvetica"/>
          <w:sz w:val="22"/>
          <w:szCs w:val="22"/>
          <w:lang w:val="en"/>
        </w:rPr>
      </w:pPr>
      <w:r w:rsidRPr="009B5A0E">
        <w:rPr>
          <w:rFonts w:ascii="Helvetica" w:eastAsiaTheme="minorHAnsi" w:hAnsi="Helvetica"/>
          <w:sz w:val="22"/>
          <w:szCs w:val="22"/>
          <w:lang w:val="en-US"/>
        </w:rPr>
        <w:t>With regards to Output 1.1</w:t>
      </w:r>
      <w:r w:rsidR="00A678D5" w:rsidRPr="009B5A0E">
        <w:rPr>
          <w:rFonts w:ascii="Helvetica" w:eastAsiaTheme="minorHAnsi" w:hAnsi="Helvetica"/>
          <w:sz w:val="22"/>
          <w:szCs w:val="22"/>
          <w:lang w:val="en-US"/>
        </w:rPr>
        <w:t>,</w:t>
      </w:r>
      <w:r w:rsidRPr="009B5A0E">
        <w:rPr>
          <w:rFonts w:ascii="Helvetica" w:eastAsiaTheme="minorHAnsi" w:hAnsi="Helvetica"/>
          <w:sz w:val="22"/>
          <w:szCs w:val="22"/>
          <w:lang w:val="en-US"/>
        </w:rPr>
        <w:t xml:space="preserve"> designed to </w:t>
      </w:r>
      <w:r w:rsidRPr="009B5A0E">
        <w:rPr>
          <w:rFonts w:ascii="Helvetica" w:hAnsi="Helvetica"/>
          <w:sz w:val="22"/>
          <w:szCs w:val="22"/>
          <w:lang w:val="en"/>
        </w:rPr>
        <w:t>provide institutionalized access to best practices, knowledge/experience sharing and capacity building trainings by/among municipalities and local communities –</w:t>
      </w:r>
      <w:r w:rsidRPr="009B5A0E">
        <w:rPr>
          <w:rFonts w:ascii="Helvetica" w:hAnsi="Helvetica"/>
          <w:b/>
          <w:bCs/>
          <w:i/>
          <w:iCs/>
          <w:sz w:val="22"/>
          <w:szCs w:val="22"/>
          <w:lang w:val="en"/>
        </w:rPr>
        <w:t xml:space="preserve"> </w:t>
      </w:r>
      <w:r w:rsidRPr="009B5A0E">
        <w:rPr>
          <w:rFonts w:ascii="Helvetica" w:hAnsi="Helvetica"/>
          <w:sz w:val="22"/>
          <w:szCs w:val="22"/>
          <w:lang w:val="en"/>
        </w:rPr>
        <w:t>the ideal long-term solution would have been to organize such institutionalization within the Union of LSGs. As</w:t>
      </w:r>
      <w:r w:rsidR="00755AFB" w:rsidRPr="009B5A0E">
        <w:rPr>
          <w:rFonts w:ascii="Helvetica" w:eastAsiaTheme="minorHAnsi" w:hAnsi="Helvetica"/>
          <w:sz w:val="22"/>
          <w:szCs w:val="22"/>
          <w:lang w:val="en-US"/>
        </w:rPr>
        <w:t xml:space="preserve"> the only voluntary union of LSGs in the country with established structure, history, functions and legitimacy, ULSG has outsized importance for any </w:t>
      </w:r>
      <w:r w:rsidR="00463D5D" w:rsidRPr="009B5A0E">
        <w:rPr>
          <w:rFonts w:ascii="Helvetica" w:eastAsiaTheme="minorHAnsi" w:hAnsi="Helvetica"/>
          <w:sz w:val="22"/>
          <w:szCs w:val="22"/>
          <w:lang w:val="en-US"/>
        </w:rPr>
        <w:t xml:space="preserve">lasting </w:t>
      </w:r>
      <w:r w:rsidR="00755AFB" w:rsidRPr="009B5A0E">
        <w:rPr>
          <w:rFonts w:ascii="Helvetica" w:eastAsiaTheme="minorHAnsi" w:hAnsi="Helvetica"/>
          <w:sz w:val="22"/>
          <w:szCs w:val="22"/>
          <w:lang w:val="en-US"/>
        </w:rPr>
        <w:t xml:space="preserve">LSG-oriented activity. Its mission is centered on representation and protection of the interests of </w:t>
      </w:r>
      <w:r w:rsidR="00A0640B" w:rsidRPr="009B5A0E">
        <w:rPr>
          <w:rFonts w:ascii="Helvetica" w:eastAsiaTheme="minorHAnsi" w:hAnsi="Helvetica"/>
          <w:sz w:val="22"/>
          <w:szCs w:val="22"/>
          <w:lang w:val="en-US"/>
        </w:rPr>
        <w:t>LSG and</w:t>
      </w:r>
      <w:r w:rsidR="00755AFB" w:rsidRPr="009B5A0E">
        <w:rPr>
          <w:rFonts w:ascii="Helvetica" w:eastAsiaTheme="minorHAnsi" w:hAnsi="Helvetica"/>
          <w:sz w:val="22"/>
          <w:szCs w:val="22"/>
          <w:lang w:val="en-US"/>
        </w:rPr>
        <w:t xml:space="preserve"> supports the development and enhancement of local governance. </w:t>
      </w:r>
    </w:p>
    <w:p w14:paraId="6026DF5B" w14:textId="77777777" w:rsidR="00A0640B" w:rsidRPr="009B5A0E" w:rsidRDefault="00A0640B" w:rsidP="00B26905">
      <w:pPr>
        <w:jc w:val="both"/>
        <w:rPr>
          <w:rFonts w:ascii="Helvetica" w:eastAsiaTheme="minorHAnsi" w:hAnsi="Helvetica"/>
          <w:sz w:val="22"/>
          <w:szCs w:val="22"/>
          <w:lang w:val="en-US"/>
        </w:rPr>
      </w:pPr>
    </w:p>
    <w:p w14:paraId="4E539F5E" w14:textId="77777777" w:rsidR="00755AFB" w:rsidRPr="009B5A0E" w:rsidRDefault="007165A0" w:rsidP="00B26905">
      <w:pPr>
        <w:jc w:val="both"/>
        <w:rPr>
          <w:rFonts w:ascii="Helvetica" w:eastAsiaTheme="minorHAnsi" w:hAnsi="Helvetica"/>
          <w:sz w:val="22"/>
          <w:szCs w:val="22"/>
          <w:lang w:val="en-US"/>
        </w:rPr>
      </w:pPr>
      <w:r w:rsidRPr="009B5A0E">
        <w:rPr>
          <w:rFonts w:ascii="Helvetica" w:eastAsiaTheme="minorHAnsi" w:hAnsi="Helvetica"/>
          <w:sz w:val="22"/>
          <w:szCs w:val="22"/>
          <w:lang w:val="en-US"/>
        </w:rPr>
        <w:t>However, w</w:t>
      </w:r>
      <w:r w:rsidR="00A0640B" w:rsidRPr="009B5A0E">
        <w:rPr>
          <w:rFonts w:ascii="Helvetica" w:eastAsiaTheme="minorHAnsi" w:hAnsi="Helvetica"/>
          <w:sz w:val="22"/>
          <w:szCs w:val="22"/>
          <w:lang w:val="en-US"/>
        </w:rPr>
        <w:t>hile ULSG has ensured its</w:t>
      </w:r>
      <w:r w:rsidR="00755AFB" w:rsidRPr="009B5A0E">
        <w:rPr>
          <w:rFonts w:ascii="Helvetica" w:eastAsiaTheme="minorHAnsi" w:hAnsi="Helvetica"/>
          <w:sz w:val="22"/>
          <w:szCs w:val="22"/>
          <w:lang w:val="en-US"/>
        </w:rPr>
        <w:t xml:space="preserve"> </w:t>
      </w:r>
      <w:r w:rsidR="00A0640B" w:rsidRPr="009B5A0E">
        <w:rPr>
          <w:rFonts w:ascii="Helvetica" w:eastAsiaTheme="minorHAnsi" w:hAnsi="Helvetica"/>
          <w:sz w:val="22"/>
          <w:szCs w:val="22"/>
          <w:lang w:val="en-US"/>
        </w:rPr>
        <w:t xml:space="preserve">institutional stability, its institutional capacity, financial instability, limited membership reach among the LSGs and their participation have been a well-voiced concern, limiting VAP’s ability to anchor or integrate the project’s capacity-building tools and mechanisms at this organization. For this reason and considering the </w:t>
      </w:r>
      <w:r w:rsidR="00463D5D" w:rsidRPr="009B5A0E">
        <w:rPr>
          <w:rFonts w:ascii="Helvetica" w:eastAsiaTheme="minorHAnsi" w:hAnsi="Helvetica"/>
          <w:sz w:val="22"/>
          <w:szCs w:val="22"/>
          <w:lang w:val="en-US"/>
        </w:rPr>
        <w:t>focused</w:t>
      </w:r>
      <w:r w:rsidR="00A0640B" w:rsidRPr="009B5A0E">
        <w:rPr>
          <w:rFonts w:ascii="Helvetica" w:eastAsiaTheme="minorHAnsi" w:hAnsi="Helvetica"/>
          <w:sz w:val="22"/>
          <w:szCs w:val="22"/>
          <w:lang w:val="en-US"/>
        </w:rPr>
        <w:t xml:space="preserve"> nature of the Exit Phase activities, the VAP approach to ensuring long-term continuity, access and availability of capacity-building resources for LSGs does not stress institutional development of ULSG as a direct beneficiary institution. Instead, the approach is </w:t>
      </w:r>
      <w:r w:rsidRPr="009B5A0E">
        <w:rPr>
          <w:rFonts w:ascii="Helvetica" w:eastAsiaTheme="minorHAnsi" w:hAnsi="Helvetica"/>
          <w:sz w:val="22"/>
          <w:szCs w:val="22"/>
          <w:lang w:val="en-US"/>
        </w:rPr>
        <w:t xml:space="preserve">to </w:t>
      </w:r>
      <w:r w:rsidR="00A0640B" w:rsidRPr="009B5A0E">
        <w:rPr>
          <w:rFonts w:ascii="Helvetica" w:eastAsiaTheme="minorHAnsi" w:hAnsi="Helvetica"/>
          <w:sz w:val="22"/>
          <w:szCs w:val="22"/>
          <w:lang w:val="en-US"/>
        </w:rPr>
        <w:t>build a</w:t>
      </w:r>
      <w:r w:rsidR="002E04EC" w:rsidRPr="009B5A0E">
        <w:rPr>
          <w:rFonts w:ascii="Helvetica" w:eastAsiaTheme="minorHAnsi" w:hAnsi="Helvetica"/>
          <w:sz w:val="22"/>
          <w:szCs w:val="22"/>
          <w:lang w:val="en-US"/>
        </w:rPr>
        <w:t xml:space="preserve"> partnership-based</w:t>
      </w:r>
      <w:r w:rsidR="00A0640B" w:rsidRPr="009B5A0E">
        <w:rPr>
          <w:rFonts w:ascii="Helvetica" w:eastAsiaTheme="minorHAnsi" w:hAnsi="Helvetica"/>
          <w:sz w:val="22"/>
          <w:szCs w:val="22"/>
          <w:lang w:val="en-US"/>
        </w:rPr>
        <w:t xml:space="preserve"> capacity-building resource that aligns well with ULSG’s strategic </w:t>
      </w:r>
      <w:r w:rsidRPr="009B5A0E">
        <w:rPr>
          <w:rFonts w:ascii="Helvetica" w:eastAsiaTheme="minorHAnsi" w:hAnsi="Helvetica"/>
          <w:sz w:val="22"/>
          <w:szCs w:val="22"/>
          <w:lang w:val="en-US"/>
        </w:rPr>
        <w:t>priorities but</w:t>
      </w:r>
      <w:r w:rsidR="00A0640B" w:rsidRPr="009B5A0E">
        <w:rPr>
          <w:rFonts w:ascii="Helvetica" w:eastAsiaTheme="minorHAnsi" w:hAnsi="Helvetica"/>
          <w:sz w:val="22"/>
          <w:szCs w:val="22"/>
          <w:lang w:val="en-US"/>
        </w:rPr>
        <w:t xml:space="preserve"> remains implementable even in case of major challenges with ULSG’s institutional performance. </w:t>
      </w:r>
    </w:p>
    <w:p w14:paraId="7915B5E8" w14:textId="77777777" w:rsidR="00A0640B" w:rsidRPr="009B5A0E" w:rsidRDefault="00A0640B" w:rsidP="00B26905">
      <w:pPr>
        <w:jc w:val="both"/>
        <w:rPr>
          <w:rFonts w:ascii="Helvetica" w:eastAsiaTheme="minorHAnsi" w:hAnsi="Helvetica"/>
          <w:sz w:val="22"/>
          <w:szCs w:val="22"/>
          <w:lang w:val="en-US"/>
        </w:rPr>
      </w:pPr>
    </w:p>
    <w:p w14:paraId="50F0808A" w14:textId="77777777" w:rsidR="00463D5D" w:rsidRPr="009B5A0E" w:rsidRDefault="007165A0" w:rsidP="007165A0">
      <w:pPr>
        <w:jc w:val="both"/>
        <w:rPr>
          <w:rFonts w:ascii="Helvetica" w:eastAsiaTheme="minorHAnsi" w:hAnsi="Helvetica"/>
          <w:sz w:val="22"/>
          <w:szCs w:val="22"/>
          <w:lang w:val="en-US"/>
        </w:rPr>
      </w:pPr>
      <w:r w:rsidRPr="009B5A0E">
        <w:rPr>
          <w:rFonts w:ascii="Helvetica" w:eastAsiaTheme="minorHAnsi" w:hAnsi="Helvetica"/>
          <w:sz w:val="22"/>
          <w:szCs w:val="22"/>
          <w:lang w:val="en-US"/>
        </w:rPr>
        <w:t xml:space="preserve">The current strategy of ULSG for the years 2020-2025 places an emphasis on representative, expert-analytical, educational and communication functions of the Union. The Portal of Best Practices and the </w:t>
      </w:r>
      <w:r w:rsidRPr="009B5A0E">
        <w:rPr>
          <w:rFonts w:ascii="Helvetica" w:eastAsiaTheme="minorHAnsi" w:hAnsi="Helvetica"/>
          <w:i/>
          <w:iCs/>
          <w:sz w:val="22"/>
          <w:szCs w:val="22"/>
          <w:lang w:val="en-US"/>
        </w:rPr>
        <w:t xml:space="preserve">Municipality </w:t>
      </w:r>
      <w:r w:rsidR="002E04EC" w:rsidRPr="009B5A0E">
        <w:rPr>
          <w:rFonts w:ascii="Helvetica" w:eastAsiaTheme="minorHAnsi" w:hAnsi="Helvetica"/>
          <w:sz w:val="22"/>
          <w:szCs w:val="22"/>
          <w:lang w:val="en-US"/>
        </w:rPr>
        <w:t>m</w:t>
      </w:r>
      <w:r w:rsidRPr="009B5A0E">
        <w:rPr>
          <w:rFonts w:ascii="Helvetica" w:eastAsiaTheme="minorHAnsi" w:hAnsi="Helvetica"/>
          <w:sz w:val="22"/>
          <w:szCs w:val="22"/>
          <w:lang w:val="en-US"/>
        </w:rPr>
        <w:t>agazine are fully in agreement with the latter three functions – providing a very strong incentive for ULSG to take a leading role in integrating, developing and maintaining these platforms.</w:t>
      </w:r>
    </w:p>
    <w:p w14:paraId="35800055" w14:textId="77777777" w:rsidR="00463D5D" w:rsidRPr="009B5A0E" w:rsidRDefault="00463D5D" w:rsidP="007165A0">
      <w:pPr>
        <w:jc w:val="both"/>
        <w:rPr>
          <w:rFonts w:ascii="Helvetica" w:eastAsiaTheme="minorHAnsi" w:hAnsi="Helvetica"/>
          <w:sz w:val="22"/>
          <w:szCs w:val="22"/>
          <w:lang w:val="en-US"/>
        </w:rPr>
      </w:pPr>
    </w:p>
    <w:p w14:paraId="0A997A53" w14:textId="77777777" w:rsidR="007165A0" w:rsidRPr="009B5A0E" w:rsidRDefault="00463D5D" w:rsidP="007165A0">
      <w:pPr>
        <w:jc w:val="both"/>
        <w:rPr>
          <w:rFonts w:ascii="Helvetica" w:eastAsiaTheme="minorHAnsi" w:hAnsi="Helvetica"/>
          <w:sz w:val="22"/>
          <w:szCs w:val="22"/>
          <w:lang w:val="en-US"/>
        </w:rPr>
      </w:pPr>
      <w:r w:rsidRPr="009B5A0E">
        <w:rPr>
          <w:rFonts w:ascii="Helvetica" w:eastAsiaTheme="minorHAnsi" w:hAnsi="Helvetica"/>
          <w:sz w:val="22"/>
          <w:szCs w:val="22"/>
          <w:lang w:val="en-US"/>
        </w:rPr>
        <w:t>Moreover, in early 2020, ULSG and DPI developed a strategy of cooperation, based on a detailed analysis of the strengths, weaknesses and complementarities of the two organizations. It spells out the vision of a Center for LSG Development, as a separate legal entity, co-founded by ULSG and D</w:t>
      </w:r>
      <w:r w:rsidR="0089572F" w:rsidRPr="009B5A0E">
        <w:rPr>
          <w:rFonts w:ascii="Helvetica" w:eastAsiaTheme="minorHAnsi" w:hAnsi="Helvetica"/>
          <w:sz w:val="22"/>
          <w:szCs w:val="22"/>
          <w:lang w:val="en-US"/>
        </w:rPr>
        <w:t>PI. Contingent on outcomes and lessons of the Exit Phase, this entity will serve as the main vehicle for project delivery, capacity building, communication and analytical and expert support of and on behalf of ULSG.</w:t>
      </w:r>
      <w:r w:rsidRPr="009B5A0E">
        <w:rPr>
          <w:rFonts w:ascii="Helvetica" w:eastAsiaTheme="minorHAnsi" w:hAnsi="Helvetica"/>
          <w:sz w:val="22"/>
          <w:szCs w:val="22"/>
          <w:lang w:val="en-US"/>
        </w:rPr>
        <w:t xml:space="preserve"> </w:t>
      </w:r>
      <w:r w:rsidR="007165A0" w:rsidRPr="009B5A0E">
        <w:rPr>
          <w:rFonts w:ascii="Helvetica" w:eastAsiaTheme="minorHAnsi" w:hAnsi="Helvetica"/>
          <w:sz w:val="22"/>
          <w:szCs w:val="22"/>
          <w:lang w:val="en-US"/>
        </w:rPr>
        <w:t xml:space="preserve"> </w:t>
      </w:r>
    </w:p>
    <w:p w14:paraId="3CF67388" w14:textId="77777777" w:rsidR="007165A0" w:rsidRPr="009B5A0E" w:rsidRDefault="007165A0" w:rsidP="007165A0">
      <w:pPr>
        <w:jc w:val="both"/>
        <w:rPr>
          <w:rFonts w:ascii="Helvetica" w:eastAsiaTheme="minorHAnsi" w:hAnsi="Helvetica"/>
          <w:sz w:val="22"/>
          <w:szCs w:val="22"/>
          <w:lang w:val="en-US"/>
        </w:rPr>
      </w:pPr>
    </w:p>
    <w:p w14:paraId="55BAF6C8" w14:textId="77777777" w:rsidR="0089572F" w:rsidRPr="009B5A0E" w:rsidRDefault="0089572F" w:rsidP="0089572F">
      <w:pPr>
        <w:jc w:val="both"/>
        <w:rPr>
          <w:rFonts w:ascii="Helvetica" w:eastAsiaTheme="minorHAnsi" w:hAnsi="Helvetica"/>
          <w:sz w:val="22"/>
          <w:szCs w:val="22"/>
          <w:lang w:val="en-US"/>
        </w:rPr>
      </w:pPr>
      <w:r w:rsidRPr="009B5A0E">
        <w:rPr>
          <w:rFonts w:ascii="Helvetica" w:eastAsiaTheme="minorHAnsi" w:hAnsi="Helvetica"/>
          <w:sz w:val="22"/>
          <w:szCs w:val="22"/>
          <w:lang w:val="en-US"/>
        </w:rPr>
        <w:t xml:space="preserve">Development Policy Institute represents the third, non-government partner whose long term strategic and institutional motivation lies in the area of promoting local development and ensuring strong performance as a center of applied expertise, analysis, monitoring and </w:t>
      </w:r>
      <w:r w:rsidRPr="009B5A0E">
        <w:rPr>
          <w:rFonts w:ascii="Helvetica" w:eastAsiaTheme="minorHAnsi" w:hAnsi="Helvetica"/>
          <w:sz w:val="22"/>
          <w:szCs w:val="22"/>
          <w:lang w:val="en-US"/>
        </w:rPr>
        <w:lastRenderedPageBreak/>
        <w:t xml:space="preserve">evaluation. DPI is prepared to set up a full handover of both the Portal and the </w:t>
      </w:r>
      <w:r w:rsidRPr="009B5A0E">
        <w:rPr>
          <w:rFonts w:ascii="Helvetica" w:eastAsiaTheme="minorHAnsi" w:hAnsi="Helvetica"/>
          <w:i/>
          <w:iCs/>
          <w:sz w:val="22"/>
          <w:szCs w:val="22"/>
          <w:lang w:val="en-US"/>
        </w:rPr>
        <w:t>Municipality</w:t>
      </w:r>
      <w:r w:rsidRPr="009B5A0E">
        <w:rPr>
          <w:rFonts w:ascii="Helvetica" w:eastAsiaTheme="minorHAnsi" w:hAnsi="Helvetica"/>
          <w:sz w:val="22"/>
          <w:szCs w:val="22"/>
          <w:lang w:val="en-US"/>
        </w:rPr>
        <w:t xml:space="preserve"> to ULSG or an affiliated separate legal entity once the organizational conditions and capacity are confirmed. </w:t>
      </w:r>
      <w:r w:rsidR="009F4580">
        <w:rPr>
          <w:rFonts w:ascii="Helvetica" w:eastAsiaTheme="minorHAnsi" w:hAnsi="Helvetica"/>
          <w:sz w:val="22"/>
          <w:szCs w:val="22"/>
          <w:lang w:val="en-US"/>
        </w:rPr>
        <w:t>This links well with DPI’s interest in ensuring organizational sustainability of the analytical and communicative resources developed under VAP.</w:t>
      </w:r>
    </w:p>
    <w:p w14:paraId="009A305A" w14:textId="77777777" w:rsidR="0089572F" w:rsidRPr="009B5A0E" w:rsidRDefault="0089572F" w:rsidP="0089572F">
      <w:pPr>
        <w:jc w:val="both"/>
        <w:rPr>
          <w:rFonts w:ascii="Helvetica" w:eastAsiaTheme="minorHAnsi" w:hAnsi="Helvetica"/>
          <w:sz w:val="22"/>
          <w:szCs w:val="22"/>
          <w:lang w:val="en-US"/>
        </w:rPr>
      </w:pPr>
    </w:p>
    <w:p w14:paraId="363D8A11" w14:textId="77777777" w:rsidR="00573A50" w:rsidRPr="009B5A0E" w:rsidRDefault="007165A0" w:rsidP="007165A0">
      <w:pPr>
        <w:jc w:val="both"/>
        <w:rPr>
          <w:rFonts w:ascii="Helvetica" w:eastAsiaTheme="minorHAnsi" w:hAnsi="Helvetica"/>
          <w:sz w:val="22"/>
          <w:szCs w:val="22"/>
          <w:lang w:val="en-US"/>
        </w:rPr>
      </w:pPr>
      <w:r w:rsidRPr="009B5A0E">
        <w:rPr>
          <w:rFonts w:ascii="Helvetica" w:eastAsiaTheme="minorHAnsi" w:hAnsi="Helvetica"/>
          <w:sz w:val="22"/>
          <w:szCs w:val="22"/>
          <w:lang w:val="en-US"/>
        </w:rPr>
        <w:t xml:space="preserve">Similarly, </w:t>
      </w:r>
      <w:r w:rsidR="002E04EC" w:rsidRPr="009B5A0E">
        <w:rPr>
          <w:rFonts w:ascii="Helvetica" w:eastAsiaTheme="minorHAnsi" w:hAnsi="Helvetica"/>
          <w:sz w:val="22"/>
          <w:szCs w:val="22"/>
          <w:lang w:val="en-US"/>
        </w:rPr>
        <w:t xml:space="preserve">the partnership-based resource is aligned with the related mandate and interest of SALSGIR as a state policy and policy implementation actor. SALSGIR is directly responsible for providing support to LSGs of organizational, methodological and advisory nature, forming expert and working groups under its mandate. It also coordinates activities involving state, LSG, civil society, development partners and media. In the form envisioned by VAP for the Exit Phase, the Portal of Best Practices, </w:t>
      </w:r>
      <w:r w:rsidR="00FC1B7F" w:rsidRPr="009B5A0E">
        <w:rPr>
          <w:rFonts w:ascii="Helvetica" w:eastAsiaTheme="minorHAnsi" w:hAnsi="Helvetica"/>
          <w:sz w:val="22"/>
          <w:szCs w:val="22"/>
          <w:lang w:val="en-US"/>
        </w:rPr>
        <w:t xml:space="preserve">along </w:t>
      </w:r>
      <w:r w:rsidR="002E04EC" w:rsidRPr="009B5A0E">
        <w:rPr>
          <w:rFonts w:ascii="Helvetica" w:eastAsiaTheme="minorHAnsi" w:hAnsi="Helvetica"/>
          <w:sz w:val="22"/>
          <w:szCs w:val="22"/>
          <w:lang w:val="en-US"/>
        </w:rPr>
        <w:t xml:space="preserve">with the </w:t>
      </w:r>
      <w:r w:rsidR="002E04EC" w:rsidRPr="009B5A0E">
        <w:rPr>
          <w:rFonts w:ascii="Helvetica" w:eastAsiaTheme="minorHAnsi" w:hAnsi="Helvetica"/>
          <w:i/>
          <w:iCs/>
          <w:sz w:val="22"/>
          <w:szCs w:val="22"/>
          <w:lang w:val="en-US"/>
        </w:rPr>
        <w:t>Municipality</w:t>
      </w:r>
      <w:r w:rsidR="002E04EC" w:rsidRPr="009B5A0E">
        <w:rPr>
          <w:rFonts w:ascii="Helvetica" w:eastAsiaTheme="minorHAnsi" w:hAnsi="Helvetica"/>
          <w:sz w:val="22"/>
          <w:szCs w:val="22"/>
          <w:lang w:val="en-US"/>
        </w:rPr>
        <w:t xml:space="preserve"> magazine provide SALSGIR with strong incentives to engage and provide institutional support.</w:t>
      </w:r>
    </w:p>
    <w:p w14:paraId="71E68FCE" w14:textId="77777777" w:rsidR="00573A50" w:rsidRPr="009B5A0E" w:rsidRDefault="00573A50" w:rsidP="007165A0">
      <w:pPr>
        <w:jc w:val="both"/>
        <w:rPr>
          <w:rFonts w:ascii="Helvetica" w:eastAsiaTheme="minorHAnsi" w:hAnsi="Helvetica"/>
          <w:sz w:val="22"/>
          <w:szCs w:val="22"/>
          <w:lang w:val="en-US"/>
        </w:rPr>
      </w:pPr>
    </w:p>
    <w:p w14:paraId="3527D124" w14:textId="77777777" w:rsidR="00573A50" w:rsidRPr="009B5A0E" w:rsidRDefault="00573A50" w:rsidP="007165A0">
      <w:pPr>
        <w:jc w:val="both"/>
        <w:rPr>
          <w:rFonts w:ascii="Helvetica" w:eastAsiaTheme="minorHAnsi" w:hAnsi="Helvetica"/>
          <w:sz w:val="22"/>
          <w:szCs w:val="22"/>
          <w:lang w:val="en-US"/>
        </w:rPr>
      </w:pPr>
      <w:r w:rsidRPr="009B5A0E">
        <w:rPr>
          <w:rFonts w:ascii="Helvetica" w:eastAsiaTheme="minorHAnsi" w:hAnsi="Helvetica"/>
          <w:sz w:val="22"/>
          <w:szCs w:val="22"/>
          <w:lang w:val="en-US"/>
        </w:rPr>
        <w:t xml:space="preserve">This trilateral initial partnership will be open for accommodating additional participants, including the State Personnel Service, the Ministry of Finance, </w:t>
      </w:r>
      <w:r w:rsidR="001521D0" w:rsidRPr="009B5A0E">
        <w:rPr>
          <w:rFonts w:ascii="Helvetica" w:eastAsiaTheme="minorHAnsi" w:hAnsi="Helvetica"/>
          <w:sz w:val="22"/>
          <w:szCs w:val="22"/>
          <w:lang w:val="en-US"/>
        </w:rPr>
        <w:t>relevant departments</w:t>
      </w:r>
      <w:r w:rsidRPr="009B5A0E">
        <w:rPr>
          <w:rFonts w:ascii="Helvetica" w:eastAsiaTheme="minorHAnsi" w:hAnsi="Helvetica"/>
          <w:sz w:val="22"/>
          <w:szCs w:val="22"/>
          <w:lang w:val="en-US"/>
        </w:rPr>
        <w:t xml:space="preserve"> at the Apparatus of Government and potentially</w:t>
      </w:r>
      <w:r w:rsidR="001521D0" w:rsidRPr="009B5A0E">
        <w:rPr>
          <w:rFonts w:ascii="Helvetica" w:eastAsiaTheme="minorHAnsi" w:hAnsi="Helvetica"/>
          <w:sz w:val="22"/>
          <w:szCs w:val="22"/>
          <w:lang w:val="en-US"/>
        </w:rPr>
        <w:t>,</w:t>
      </w:r>
      <w:r w:rsidRPr="009B5A0E">
        <w:rPr>
          <w:rFonts w:ascii="Helvetica" w:eastAsiaTheme="minorHAnsi" w:hAnsi="Helvetica"/>
          <w:sz w:val="22"/>
          <w:szCs w:val="22"/>
          <w:lang w:val="en-US"/>
        </w:rPr>
        <w:t xml:space="preserve"> large</w:t>
      </w:r>
      <w:r w:rsidR="001521D0" w:rsidRPr="009B5A0E">
        <w:rPr>
          <w:rFonts w:ascii="Helvetica" w:eastAsiaTheme="minorHAnsi" w:hAnsi="Helvetica"/>
          <w:sz w:val="22"/>
          <w:szCs w:val="22"/>
          <w:lang w:val="en-US"/>
        </w:rPr>
        <w:t>r</w:t>
      </w:r>
      <w:r w:rsidRPr="009B5A0E">
        <w:rPr>
          <w:rFonts w:ascii="Helvetica" w:eastAsiaTheme="minorHAnsi" w:hAnsi="Helvetica"/>
          <w:sz w:val="22"/>
          <w:szCs w:val="22"/>
          <w:lang w:val="en-US"/>
        </w:rPr>
        <w:t xml:space="preserve"> urban municipalities.</w:t>
      </w:r>
    </w:p>
    <w:p w14:paraId="538F1CEE" w14:textId="77777777" w:rsidR="00FC1B7F" w:rsidRPr="009B5A0E" w:rsidRDefault="00FC1B7F" w:rsidP="007165A0">
      <w:pPr>
        <w:jc w:val="both"/>
        <w:rPr>
          <w:rFonts w:ascii="Helvetica" w:eastAsiaTheme="minorHAnsi" w:hAnsi="Helvetica"/>
          <w:sz w:val="22"/>
          <w:szCs w:val="22"/>
          <w:lang w:val="en-US"/>
        </w:rPr>
      </w:pPr>
    </w:p>
    <w:p w14:paraId="3455C1E9" w14:textId="77777777" w:rsidR="000C6803" w:rsidRPr="009B5A0E" w:rsidRDefault="0089572F" w:rsidP="007165A0">
      <w:pPr>
        <w:jc w:val="both"/>
        <w:rPr>
          <w:rFonts w:ascii="Helvetica" w:eastAsiaTheme="minorHAnsi" w:hAnsi="Helvetica"/>
          <w:sz w:val="22"/>
          <w:szCs w:val="22"/>
          <w:lang w:val="en-US"/>
        </w:rPr>
      </w:pPr>
      <w:r w:rsidRPr="009B5A0E">
        <w:rPr>
          <w:rFonts w:ascii="Helvetica" w:eastAsiaTheme="minorHAnsi" w:hAnsi="Helvetica"/>
          <w:sz w:val="22"/>
          <w:szCs w:val="22"/>
        </w:rPr>
        <w:t>T</w:t>
      </w:r>
      <w:r w:rsidRPr="009B5A0E">
        <w:rPr>
          <w:rFonts w:ascii="Helvetica" w:eastAsiaTheme="minorHAnsi" w:hAnsi="Helvetica"/>
          <w:sz w:val="22"/>
          <w:szCs w:val="22"/>
          <w:lang w:val="en-US"/>
        </w:rPr>
        <w:t xml:space="preserve">he Portal of Best Practices, </w:t>
      </w:r>
      <w:r w:rsidR="006550D8" w:rsidRPr="009B5A0E">
        <w:rPr>
          <w:rFonts w:ascii="Helvetica" w:eastAsiaTheme="minorHAnsi" w:hAnsi="Helvetica"/>
          <w:sz w:val="22"/>
          <w:szCs w:val="22"/>
          <w:lang w:val="en-US"/>
        </w:rPr>
        <w:t>leveraging the</w:t>
      </w:r>
      <w:r w:rsidRPr="009B5A0E">
        <w:rPr>
          <w:rFonts w:ascii="Helvetica" w:eastAsiaTheme="minorHAnsi" w:hAnsi="Helvetica"/>
          <w:sz w:val="22"/>
          <w:szCs w:val="22"/>
          <w:lang w:val="en-US"/>
        </w:rPr>
        <w:t xml:space="preserve"> </w:t>
      </w:r>
      <w:r w:rsidRPr="009B5A0E">
        <w:rPr>
          <w:rFonts w:ascii="Helvetica" w:eastAsiaTheme="minorHAnsi" w:hAnsi="Helvetica"/>
          <w:i/>
          <w:iCs/>
          <w:sz w:val="22"/>
          <w:szCs w:val="22"/>
          <w:lang w:val="en-US"/>
        </w:rPr>
        <w:t>Municipality</w:t>
      </w:r>
      <w:r w:rsidRPr="009B5A0E">
        <w:rPr>
          <w:rFonts w:ascii="Helvetica" w:eastAsiaTheme="minorHAnsi" w:hAnsi="Helvetica"/>
          <w:sz w:val="22"/>
          <w:szCs w:val="22"/>
          <w:lang w:val="en-US"/>
        </w:rPr>
        <w:t xml:space="preserve"> magazine ha</w:t>
      </w:r>
      <w:r w:rsidR="006550D8" w:rsidRPr="009B5A0E">
        <w:rPr>
          <w:rFonts w:ascii="Helvetica" w:eastAsiaTheme="minorHAnsi" w:hAnsi="Helvetica"/>
          <w:sz w:val="22"/>
          <w:szCs w:val="22"/>
          <w:lang w:val="en-US"/>
        </w:rPr>
        <w:t>s</w:t>
      </w:r>
      <w:r w:rsidRPr="009B5A0E">
        <w:rPr>
          <w:rFonts w:ascii="Helvetica" w:eastAsiaTheme="minorHAnsi" w:hAnsi="Helvetica"/>
          <w:sz w:val="22"/>
          <w:szCs w:val="22"/>
          <w:lang w:val="en-US"/>
        </w:rPr>
        <w:t xml:space="preserve"> validated </w:t>
      </w:r>
      <w:r w:rsidR="000C6803" w:rsidRPr="009B5A0E">
        <w:rPr>
          <w:rFonts w:ascii="Helvetica" w:eastAsiaTheme="minorHAnsi" w:hAnsi="Helvetica"/>
          <w:sz w:val="22"/>
          <w:szCs w:val="22"/>
          <w:lang w:val="en-US"/>
        </w:rPr>
        <w:t>feasibility of</w:t>
      </w:r>
      <w:r w:rsidRPr="009B5A0E">
        <w:rPr>
          <w:rFonts w:ascii="Helvetica" w:eastAsiaTheme="minorHAnsi" w:hAnsi="Helvetica"/>
          <w:sz w:val="22"/>
          <w:szCs w:val="22"/>
          <w:lang w:val="en-US"/>
        </w:rPr>
        <w:t xml:space="preserve"> achiev</w:t>
      </w:r>
      <w:r w:rsidR="000C6803" w:rsidRPr="009B5A0E">
        <w:rPr>
          <w:rFonts w:ascii="Helvetica" w:eastAsiaTheme="minorHAnsi" w:hAnsi="Helvetica"/>
          <w:sz w:val="22"/>
          <w:szCs w:val="22"/>
          <w:lang w:val="en-US"/>
        </w:rPr>
        <w:t>ing</w:t>
      </w:r>
      <w:r w:rsidRPr="009B5A0E">
        <w:rPr>
          <w:rFonts w:ascii="Helvetica" w:eastAsiaTheme="minorHAnsi" w:hAnsi="Helvetica"/>
          <w:sz w:val="22"/>
          <w:szCs w:val="22"/>
          <w:lang w:val="en-US"/>
        </w:rPr>
        <w:t xml:space="preserve"> financial sustainability. Published monthly in Kyrgyz and Russian languages, with a </w:t>
      </w:r>
      <w:r w:rsidR="000C723C" w:rsidRPr="009B5A0E">
        <w:rPr>
          <w:rFonts w:ascii="Helvetica" w:eastAsiaTheme="minorHAnsi" w:hAnsi="Helvetica"/>
          <w:sz w:val="22"/>
          <w:szCs w:val="22"/>
          <w:lang w:val="en-US"/>
        </w:rPr>
        <w:t xml:space="preserve">current </w:t>
      </w:r>
      <w:r w:rsidRPr="009B5A0E">
        <w:rPr>
          <w:rFonts w:ascii="Helvetica" w:eastAsiaTheme="minorHAnsi" w:hAnsi="Helvetica"/>
          <w:sz w:val="22"/>
          <w:szCs w:val="22"/>
          <w:lang w:val="en-US"/>
        </w:rPr>
        <w:t>print run of 700 copies, Municipality is an established professional publication for the municipal sector</w:t>
      </w:r>
      <w:r w:rsidR="000C723C" w:rsidRPr="009B5A0E">
        <w:rPr>
          <w:rFonts w:ascii="Helvetica" w:eastAsiaTheme="minorHAnsi" w:hAnsi="Helvetica"/>
          <w:sz w:val="22"/>
          <w:szCs w:val="22"/>
          <w:lang w:val="en-US"/>
        </w:rPr>
        <w:t>. It</w:t>
      </w:r>
      <w:r w:rsidRPr="009B5A0E">
        <w:rPr>
          <w:rFonts w:ascii="Helvetica" w:eastAsiaTheme="minorHAnsi" w:hAnsi="Helvetica"/>
          <w:sz w:val="22"/>
          <w:szCs w:val="22"/>
          <w:lang w:val="en-US"/>
        </w:rPr>
        <w:t xml:space="preserve"> </w:t>
      </w:r>
      <w:r w:rsidR="000C723C" w:rsidRPr="009B5A0E">
        <w:rPr>
          <w:rFonts w:ascii="Helvetica" w:eastAsiaTheme="minorHAnsi" w:hAnsi="Helvetica"/>
          <w:sz w:val="22"/>
          <w:szCs w:val="22"/>
          <w:lang w:val="en-US"/>
        </w:rPr>
        <w:t>has</w:t>
      </w:r>
      <w:r w:rsidRPr="009B5A0E">
        <w:rPr>
          <w:rFonts w:ascii="Helvetica" w:eastAsiaTheme="minorHAnsi" w:hAnsi="Helvetica"/>
          <w:sz w:val="22"/>
          <w:szCs w:val="22"/>
          <w:lang w:val="en-US"/>
        </w:rPr>
        <w:t xml:space="preserve"> track record of over 100 issues</w:t>
      </w:r>
      <w:r w:rsidR="000C723C" w:rsidRPr="009B5A0E">
        <w:rPr>
          <w:rFonts w:ascii="Helvetica" w:eastAsiaTheme="minorHAnsi" w:hAnsi="Helvetica"/>
          <w:sz w:val="22"/>
          <w:szCs w:val="22"/>
          <w:lang w:val="en-US"/>
        </w:rPr>
        <w:t xml:space="preserve"> and built a dedicated audience among the LSGs, state organizations, universities and civil society groups. In 2019, VAP conducted a market survey with responses from 170 subscribers. 93% of the respondents are interested in receiving the magazine on continued basis, 47% are prepared to pay for each issue. 67% value the print issue more than the electronic version. In the editorial team’s experience, there is significant sustained interest in placing advertisements aimed at the LSG audience.</w:t>
      </w:r>
    </w:p>
    <w:p w14:paraId="58FCCD40" w14:textId="77777777" w:rsidR="000C6803" w:rsidRPr="009B5A0E" w:rsidRDefault="000C6803" w:rsidP="007165A0">
      <w:pPr>
        <w:jc w:val="both"/>
        <w:rPr>
          <w:rFonts w:ascii="Helvetica" w:eastAsiaTheme="minorHAnsi" w:hAnsi="Helvetica"/>
          <w:sz w:val="22"/>
          <w:szCs w:val="22"/>
          <w:lang w:val="en-US"/>
        </w:rPr>
      </w:pPr>
    </w:p>
    <w:p w14:paraId="755B06A2" w14:textId="77777777" w:rsidR="0089572F" w:rsidRPr="009B5A0E" w:rsidRDefault="000C723C" w:rsidP="007165A0">
      <w:pPr>
        <w:jc w:val="both"/>
        <w:rPr>
          <w:rFonts w:ascii="Helvetica" w:eastAsiaTheme="minorHAnsi" w:hAnsi="Helvetica"/>
          <w:sz w:val="22"/>
          <w:szCs w:val="22"/>
          <w:lang w:val="en-US"/>
        </w:rPr>
      </w:pPr>
      <w:r w:rsidRPr="009B5A0E">
        <w:rPr>
          <w:rFonts w:ascii="Helvetica" w:eastAsiaTheme="minorHAnsi" w:hAnsi="Helvetica"/>
          <w:sz w:val="22"/>
          <w:szCs w:val="22"/>
          <w:lang w:val="en-US"/>
        </w:rPr>
        <w:t>VAP developed a detailed analysis of financial sustainability of the</w:t>
      </w:r>
      <w:r w:rsidR="000C6803" w:rsidRPr="009B5A0E">
        <w:rPr>
          <w:rFonts w:ascii="Helvetica" w:eastAsiaTheme="minorHAnsi" w:hAnsi="Helvetica"/>
          <w:sz w:val="22"/>
          <w:szCs w:val="22"/>
          <w:lang w:val="en-US"/>
        </w:rPr>
        <w:t xml:space="preserve"> Portal and the Municipality</w:t>
      </w:r>
      <w:r w:rsidRPr="009B5A0E">
        <w:rPr>
          <w:rFonts w:ascii="Helvetica" w:eastAsiaTheme="minorHAnsi" w:hAnsi="Helvetica"/>
          <w:sz w:val="22"/>
          <w:szCs w:val="22"/>
          <w:lang w:val="en-US"/>
        </w:rPr>
        <w:t xml:space="preserve"> publication, projecting a mix of revenue from subscriptions and individual sales of the magazine, advertisement revenue, partnerships and donations</w:t>
      </w:r>
      <w:r w:rsidR="000C6803" w:rsidRPr="009B5A0E">
        <w:rPr>
          <w:rFonts w:ascii="Helvetica" w:eastAsiaTheme="minorHAnsi" w:hAnsi="Helvetica"/>
          <w:sz w:val="22"/>
          <w:szCs w:val="22"/>
          <w:lang w:val="en-US"/>
        </w:rPr>
        <w:t xml:space="preserve">, allowing the resource to cover its costs in full within </w:t>
      </w:r>
      <w:r w:rsidR="009F4580">
        <w:rPr>
          <w:rFonts w:ascii="Helvetica" w:eastAsiaTheme="minorHAnsi" w:hAnsi="Helvetica"/>
          <w:sz w:val="22"/>
          <w:szCs w:val="22"/>
          <w:lang w:val="en-US"/>
        </w:rPr>
        <w:t>5</w:t>
      </w:r>
      <w:r w:rsidR="000C6803" w:rsidRPr="009B5A0E">
        <w:rPr>
          <w:rFonts w:ascii="Helvetica" w:eastAsiaTheme="minorHAnsi" w:hAnsi="Helvetica"/>
          <w:sz w:val="22"/>
          <w:szCs w:val="22"/>
          <w:lang w:val="en-US"/>
        </w:rPr>
        <w:t xml:space="preserve"> years of potential spin-off</w:t>
      </w:r>
      <w:r w:rsidR="009F4580">
        <w:rPr>
          <w:rFonts w:ascii="Helvetica" w:eastAsiaTheme="minorHAnsi" w:hAnsi="Helvetica"/>
          <w:sz w:val="22"/>
          <w:szCs w:val="22"/>
          <w:lang w:val="en-US"/>
        </w:rPr>
        <w:t>, provided substantive assistance is provided within the first 1.5-3 year horizon</w:t>
      </w:r>
      <w:r w:rsidR="000C6803" w:rsidRPr="009B5A0E">
        <w:rPr>
          <w:rFonts w:ascii="Helvetica" w:eastAsiaTheme="minorHAnsi" w:hAnsi="Helvetica"/>
          <w:sz w:val="22"/>
          <w:szCs w:val="22"/>
          <w:lang w:val="en-US"/>
        </w:rPr>
        <w:t xml:space="preserve">. </w:t>
      </w:r>
    </w:p>
    <w:p w14:paraId="401A74C1" w14:textId="77777777" w:rsidR="0089572F" w:rsidRPr="009B5A0E" w:rsidRDefault="0089572F" w:rsidP="007165A0">
      <w:pPr>
        <w:jc w:val="both"/>
        <w:rPr>
          <w:rFonts w:ascii="Helvetica" w:eastAsiaTheme="minorHAnsi" w:hAnsi="Helvetica"/>
          <w:sz w:val="22"/>
          <w:szCs w:val="22"/>
          <w:lang w:val="en-US"/>
        </w:rPr>
      </w:pPr>
    </w:p>
    <w:p w14:paraId="51FDEC59" w14:textId="77777777" w:rsidR="00EC4E11" w:rsidRPr="009B5A0E" w:rsidRDefault="00573A50" w:rsidP="007165A0">
      <w:pPr>
        <w:jc w:val="both"/>
        <w:rPr>
          <w:rFonts w:ascii="Helvetica" w:eastAsiaTheme="minorHAnsi" w:hAnsi="Helvetica"/>
          <w:sz w:val="22"/>
          <w:szCs w:val="22"/>
        </w:rPr>
      </w:pPr>
      <w:r w:rsidRPr="009B5A0E">
        <w:rPr>
          <w:rFonts w:ascii="Helvetica" w:eastAsiaTheme="minorHAnsi" w:hAnsi="Helvetica"/>
          <w:sz w:val="22"/>
          <w:szCs w:val="22"/>
          <w:lang w:val="en-US"/>
        </w:rPr>
        <w:t xml:space="preserve">With regards to Output </w:t>
      </w:r>
      <w:r w:rsidR="00645031" w:rsidRPr="009B5A0E">
        <w:rPr>
          <w:rFonts w:ascii="Helvetica" w:eastAsiaTheme="minorHAnsi" w:hAnsi="Helvetica"/>
          <w:sz w:val="22"/>
          <w:szCs w:val="22"/>
          <w:lang w:val="en-US"/>
        </w:rPr>
        <w:t>1</w:t>
      </w:r>
      <w:r w:rsidRPr="009B5A0E">
        <w:rPr>
          <w:rFonts w:ascii="Helvetica" w:eastAsiaTheme="minorHAnsi" w:hAnsi="Helvetica"/>
          <w:sz w:val="22"/>
          <w:szCs w:val="22"/>
          <w:lang w:val="en-US"/>
        </w:rPr>
        <w:t xml:space="preserve">.2. related to </w:t>
      </w:r>
      <w:r w:rsidR="00EC4E11" w:rsidRPr="009B5A0E">
        <w:rPr>
          <w:rFonts w:ascii="Helvetica" w:eastAsiaTheme="minorHAnsi" w:hAnsi="Helvetica"/>
          <w:sz w:val="22"/>
          <w:szCs w:val="22"/>
          <w:lang w:val="en-US"/>
        </w:rPr>
        <w:t xml:space="preserve">serving the qualification upgrade needs of LSGs at the regional level, SPS </w:t>
      </w:r>
      <w:r w:rsidR="00EC4E11" w:rsidRPr="009B5A0E">
        <w:rPr>
          <w:rFonts w:ascii="Helvetica" w:eastAsiaTheme="minorHAnsi" w:hAnsi="Helvetica"/>
          <w:sz w:val="22"/>
          <w:szCs w:val="22"/>
        </w:rPr>
        <w:t xml:space="preserve">has a well-defined set of institutional responsibilities in the area of developing a highly professional municipal workforce. It also is expected to remain a committed partner, capable of and willing to consistently delivering the qualification upgrade activities. </w:t>
      </w:r>
    </w:p>
    <w:p w14:paraId="1561032D" w14:textId="77777777" w:rsidR="00EC4E11" w:rsidRPr="009B5A0E" w:rsidRDefault="00EC4E11" w:rsidP="007165A0">
      <w:pPr>
        <w:jc w:val="both"/>
        <w:rPr>
          <w:rFonts w:ascii="Helvetica" w:eastAsiaTheme="minorHAnsi" w:hAnsi="Helvetica"/>
          <w:sz w:val="22"/>
          <w:szCs w:val="22"/>
        </w:rPr>
      </w:pPr>
    </w:p>
    <w:p w14:paraId="45C39DF4" w14:textId="77777777" w:rsidR="00A678D5" w:rsidRPr="009B5A0E" w:rsidRDefault="00EC4E11" w:rsidP="007165A0">
      <w:pPr>
        <w:jc w:val="both"/>
        <w:rPr>
          <w:rFonts w:ascii="Helvetica" w:eastAsiaTheme="minorHAnsi" w:hAnsi="Helvetica"/>
          <w:sz w:val="22"/>
          <w:szCs w:val="22"/>
        </w:rPr>
      </w:pPr>
      <w:r w:rsidRPr="009B5A0E">
        <w:rPr>
          <w:rFonts w:ascii="Helvetica" w:eastAsiaTheme="minorHAnsi" w:hAnsi="Helvetica"/>
          <w:sz w:val="22"/>
          <w:szCs w:val="22"/>
        </w:rPr>
        <w:t>The regional universities, all of which have faculties or departments of state and municipal service, and continue to prioritize developing their expertise, staff and resources in LSG-specific directions, a</w:t>
      </w:r>
      <w:r w:rsidR="00A678D5" w:rsidRPr="009B5A0E">
        <w:rPr>
          <w:rFonts w:ascii="Helvetica" w:eastAsiaTheme="minorHAnsi" w:hAnsi="Helvetica"/>
          <w:sz w:val="22"/>
          <w:szCs w:val="22"/>
        </w:rPr>
        <w:t xml:space="preserve">lso demonstrate strong institutional continuity. In facilitating their participation in SPS commissioned capacity building activity, with the goal of laying out a systemic and symbiotic relationship, the VAP project follows and builds on the core interests and motivations of each involved actor. This provides additional confidence in availability and quality of capacity-oriented services for </w:t>
      </w:r>
      <w:r w:rsidR="0089572F" w:rsidRPr="009B5A0E">
        <w:rPr>
          <w:rFonts w:ascii="Helvetica" w:eastAsiaTheme="minorHAnsi" w:hAnsi="Helvetica"/>
          <w:sz w:val="22"/>
          <w:szCs w:val="22"/>
        </w:rPr>
        <w:t xml:space="preserve">the </w:t>
      </w:r>
      <w:r w:rsidR="00A678D5" w:rsidRPr="009B5A0E">
        <w:rPr>
          <w:rFonts w:ascii="Helvetica" w:eastAsiaTheme="minorHAnsi" w:hAnsi="Helvetica"/>
          <w:sz w:val="22"/>
          <w:szCs w:val="22"/>
        </w:rPr>
        <w:t xml:space="preserve">municipal </w:t>
      </w:r>
      <w:r w:rsidR="0089572F" w:rsidRPr="009B5A0E">
        <w:rPr>
          <w:rFonts w:ascii="Helvetica" w:eastAsiaTheme="minorHAnsi" w:hAnsi="Helvetica"/>
          <w:sz w:val="22"/>
          <w:szCs w:val="22"/>
        </w:rPr>
        <w:t>sector</w:t>
      </w:r>
      <w:r w:rsidR="00A678D5" w:rsidRPr="009B5A0E">
        <w:rPr>
          <w:rFonts w:ascii="Helvetica" w:eastAsiaTheme="minorHAnsi" w:hAnsi="Helvetica"/>
          <w:sz w:val="22"/>
          <w:szCs w:val="22"/>
        </w:rPr>
        <w:t xml:space="preserve"> after the project exit.</w:t>
      </w:r>
    </w:p>
    <w:p w14:paraId="7C8F73DA" w14:textId="0D01D099" w:rsidR="002E04EC" w:rsidRDefault="002E04EC" w:rsidP="007165A0">
      <w:pPr>
        <w:jc w:val="both"/>
        <w:rPr>
          <w:rFonts w:ascii="Helvetica" w:eastAsiaTheme="minorHAnsi" w:hAnsi="Helvetica"/>
          <w:sz w:val="22"/>
          <w:szCs w:val="22"/>
          <w:lang w:val="en-US"/>
        </w:rPr>
      </w:pPr>
    </w:p>
    <w:p w14:paraId="19AC436B" w14:textId="463B09F4" w:rsidR="00E132B1" w:rsidRPr="00F80639" w:rsidRDefault="00E132B1" w:rsidP="007165A0">
      <w:pPr>
        <w:jc w:val="both"/>
        <w:rPr>
          <w:rFonts w:ascii="Helvetica" w:eastAsiaTheme="minorHAnsi" w:hAnsi="Helvetica"/>
          <w:sz w:val="22"/>
          <w:szCs w:val="22"/>
          <w:lang w:val="en-US"/>
        </w:rPr>
      </w:pPr>
      <w:r w:rsidRPr="00F80639">
        <w:rPr>
          <w:rFonts w:ascii="Helvetica" w:eastAsiaTheme="minorHAnsi" w:hAnsi="Helvetica"/>
          <w:sz w:val="22"/>
          <w:szCs w:val="22"/>
          <w:lang w:val="en-US"/>
        </w:rPr>
        <w:t xml:space="preserve">By end of the Exit Phase, VAP envisions a following institutionalized structure for the capacity building system supporting the LSGs and their primary representatives, municipal servants, local council deputies and interested local community stakeholders. </w:t>
      </w:r>
    </w:p>
    <w:p w14:paraId="3ABBC510" w14:textId="77777777" w:rsidR="00627CBB" w:rsidRPr="00E132B1" w:rsidRDefault="00627CBB" w:rsidP="007165A0">
      <w:pPr>
        <w:jc w:val="both"/>
        <w:rPr>
          <w:rFonts w:ascii="Helvetica" w:eastAsiaTheme="minorHAnsi" w:hAnsi="Helvetica"/>
          <w:color w:val="4472C4" w:themeColor="accent1"/>
          <w:sz w:val="22"/>
          <w:szCs w:val="22"/>
          <w:lang w:val="en-US"/>
        </w:rPr>
      </w:pPr>
    </w:p>
    <w:p w14:paraId="2C20B614" w14:textId="4BC38EF0" w:rsidR="00E132B1" w:rsidRDefault="004E037E" w:rsidP="00E132B1">
      <w:pPr>
        <w:keepNext/>
        <w:jc w:val="both"/>
      </w:pPr>
      <w:r>
        <w:rPr>
          <w:noProof/>
          <w:lang w:val="de-CH" w:eastAsia="de-CH"/>
        </w:rPr>
        <w:lastRenderedPageBreak/>
        <w:drawing>
          <wp:inline distT="0" distB="0" distL="0" distR="0" wp14:anchorId="284F5F38" wp14:editId="0ABAA813">
            <wp:extent cx="5731510" cy="5009515"/>
            <wp:effectExtent l="0" t="0" r="254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ledge_management_syste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5009515"/>
                    </a:xfrm>
                    <a:prstGeom prst="rect">
                      <a:avLst/>
                    </a:prstGeom>
                  </pic:spPr>
                </pic:pic>
              </a:graphicData>
            </a:graphic>
          </wp:inline>
        </w:drawing>
      </w:r>
    </w:p>
    <w:p w14:paraId="318F38C5" w14:textId="77777777" w:rsidR="00627CBB" w:rsidRDefault="00627CBB" w:rsidP="00627CBB">
      <w:pPr>
        <w:pStyle w:val="af1"/>
        <w:spacing w:after="0"/>
        <w:contextualSpacing/>
        <w:jc w:val="both"/>
      </w:pPr>
    </w:p>
    <w:p w14:paraId="1515B374" w14:textId="55AFA02B" w:rsidR="00E132B1" w:rsidRDefault="00E132B1" w:rsidP="00E132B1">
      <w:pPr>
        <w:pStyle w:val="af1"/>
        <w:jc w:val="both"/>
        <w:rPr>
          <w:rFonts w:ascii="Helvetica" w:eastAsiaTheme="minorHAnsi" w:hAnsi="Helvetica"/>
          <w:sz w:val="22"/>
          <w:szCs w:val="22"/>
          <w:lang w:val="en-US"/>
        </w:rPr>
      </w:pPr>
      <w:r>
        <w:t>Figure</w:t>
      </w:r>
      <w:r w:rsidR="00B64C0A">
        <w:t xml:space="preserve"> </w:t>
      </w:r>
      <w:r w:rsidR="00964BC5">
        <w:t>6</w:t>
      </w:r>
      <w:r>
        <w:t>. VAP vision for the capacity building system by 2022.</w:t>
      </w:r>
    </w:p>
    <w:p w14:paraId="265C66B6" w14:textId="77777777" w:rsidR="000B2198" w:rsidRPr="009B5A0E" w:rsidRDefault="000B2669" w:rsidP="002D4789">
      <w:pPr>
        <w:jc w:val="both"/>
        <w:rPr>
          <w:rFonts w:ascii="Helvetica" w:eastAsiaTheme="minorHAnsi" w:hAnsi="Helvetica"/>
          <w:sz w:val="22"/>
          <w:szCs w:val="22"/>
        </w:rPr>
      </w:pPr>
      <w:r w:rsidRPr="009B5A0E">
        <w:rPr>
          <w:rFonts w:ascii="Helvetica" w:eastAsiaTheme="minorHAnsi" w:hAnsi="Helvetica"/>
          <w:sz w:val="22"/>
          <w:szCs w:val="22"/>
          <w:lang w:val="en-US"/>
        </w:rPr>
        <w:t>With regards to outputs 2.1 and 2.2</w:t>
      </w:r>
      <w:r w:rsidR="00645031" w:rsidRPr="009B5A0E">
        <w:rPr>
          <w:rFonts w:ascii="Helvetica" w:eastAsiaTheme="minorHAnsi" w:hAnsi="Helvetica"/>
          <w:sz w:val="22"/>
          <w:szCs w:val="22"/>
          <w:lang w:val="en-US"/>
        </w:rPr>
        <w:t>, setting the</w:t>
      </w:r>
      <w:r w:rsidR="001E277E" w:rsidRPr="009B5A0E">
        <w:rPr>
          <w:rFonts w:ascii="Helvetica" w:eastAsiaTheme="minorHAnsi" w:hAnsi="Helvetica"/>
          <w:sz w:val="22"/>
          <w:szCs w:val="22"/>
          <w:lang w:val="en-US"/>
        </w:rPr>
        <w:t xml:space="preserve"> new</w:t>
      </w:r>
      <w:r w:rsidR="00645031" w:rsidRPr="009B5A0E">
        <w:rPr>
          <w:rFonts w:ascii="Helvetica" w:eastAsiaTheme="minorHAnsi" w:hAnsi="Helvetica"/>
          <w:sz w:val="22"/>
          <w:szCs w:val="22"/>
          <w:lang w:val="en-US"/>
        </w:rPr>
        <w:t xml:space="preserve"> supporting frameworks</w:t>
      </w:r>
      <w:r w:rsidRPr="009B5A0E">
        <w:rPr>
          <w:rFonts w:ascii="Helvetica" w:eastAsiaTheme="minorHAnsi" w:hAnsi="Helvetica"/>
          <w:sz w:val="22"/>
          <w:szCs w:val="22"/>
          <w:lang w:val="en-US"/>
        </w:rPr>
        <w:t xml:space="preserve"> </w:t>
      </w:r>
      <w:r w:rsidR="00645031" w:rsidRPr="009B5A0E">
        <w:rPr>
          <w:rFonts w:ascii="Helvetica" w:eastAsiaTheme="minorHAnsi" w:hAnsi="Helvetica"/>
          <w:sz w:val="22"/>
          <w:szCs w:val="22"/>
          <w:lang w:val="en-US"/>
        </w:rPr>
        <w:t>and emphasizing enforcement</w:t>
      </w:r>
      <w:r w:rsidR="001E277E" w:rsidRPr="009B5A0E">
        <w:rPr>
          <w:rFonts w:ascii="Helvetica" w:eastAsiaTheme="minorHAnsi" w:hAnsi="Helvetica"/>
          <w:sz w:val="22"/>
          <w:szCs w:val="22"/>
          <w:lang w:val="en-US"/>
        </w:rPr>
        <w:t xml:space="preserve"> of existing frameworks</w:t>
      </w:r>
      <w:r w:rsidR="00645031" w:rsidRPr="009B5A0E">
        <w:rPr>
          <w:rFonts w:ascii="Helvetica" w:eastAsiaTheme="minorHAnsi" w:hAnsi="Helvetica"/>
          <w:sz w:val="22"/>
          <w:szCs w:val="22"/>
          <w:lang w:val="en-US"/>
        </w:rPr>
        <w:t xml:space="preserve">, </w:t>
      </w:r>
      <w:r w:rsidRPr="009B5A0E">
        <w:rPr>
          <w:rFonts w:ascii="Helvetica" w:eastAsiaTheme="minorHAnsi" w:hAnsi="Helvetica"/>
          <w:sz w:val="22"/>
          <w:szCs w:val="22"/>
          <w:lang w:val="en-US"/>
        </w:rPr>
        <w:t xml:space="preserve">the VAP project </w:t>
      </w:r>
      <w:r w:rsidR="00C5514D" w:rsidRPr="009B5A0E">
        <w:rPr>
          <w:rFonts w:ascii="Helvetica" w:eastAsiaTheme="minorHAnsi" w:hAnsi="Helvetica"/>
          <w:sz w:val="22"/>
          <w:szCs w:val="22"/>
          <w:lang w:val="en-US"/>
        </w:rPr>
        <w:t>does not envision</w:t>
      </w:r>
      <w:r w:rsidRPr="009B5A0E">
        <w:rPr>
          <w:rFonts w:ascii="Helvetica" w:eastAsiaTheme="minorHAnsi" w:hAnsi="Helvetica"/>
          <w:sz w:val="22"/>
          <w:szCs w:val="22"/>
          <w:lang w:val="en-US"/>
        </w:rPr>
        <w:t xml:space="preserve"> direct advocacy and regulatory development engagements, focusing</w:t>
      </w:r>
      <w:r w:rsidR="00645031" w:rsidRPr="009B5A0E">
        <w:rPr>
          <w:rFonts w:ascii="Helvetica" w:eastAsiaTheme="minorHAnsi" w:hAnsi="Helvetica"/>
          <w:sz w:val="22"/>
          <w:szCs w:val="22"/>
          <w:lang w:val="en-US"/>
        </w:rPr>
        <w:t xml:space="preserve"> </w:t>
      </w:r>
      <w:r w:rsidR="00C5514D" w:rsidRPr="009B5A0E">
        <w:rPr>
          <w:rFonts w:ascii="Helvetica" w:eastAsiaTheme="minorHAnsi" w:hAnsi="Helvetica"/>
          <w:sz w:val="22"/>
          <w:szCs w:val="22"/>
          <w:lang w:val="en-US"/>
        </w:rPr>
        <w:t xml:space="preserve">instead </w:t>
      </w:r>
      <w:r w:rsidRPr="009B5A0E">
        <w:rPr>
          <w:rFonts w:ascii="Helvetica" w:eastAsiaTheme="minorHAnsi" w:hAnsi="Helvetica"/>
          <w:sz w:val="22"/>
          <w:szCs w:val="22"/>
          <w:lang w:val="en-US"/>
        </w:rPr>
        <w:t xml:space="preserve">on </w:t>
      </w:r>
      <w:r w:rsidR="00645031" w:rsidRPr="009B5A0E">
        <w:rPr>
          <w:rFonts w:ascii="Helvetica" w:eastAsiaTheme="minorHAnsi" w:hAnsi="Helvetica"/>
          <w:sz w:val="22"/>
          <w:szCs w:val="22"/>
          <w:lang w:val="en-US"/>
        </w:rPr>
        <w:t xml:space="preserve">the </w:t>
      </w:r>
      <w:r w:rsidRPr="009B5A0E">
        <w:rPr>
          <w:rFonts w:ascii="Helvetica" w:eastAsiaTheme="minorHAnsi" w:hAnsi="Helvetica"/>
          <w:sz w:val="22"/>
          <w:szCs w:val="22"/>
          <w:lang w:val="en-US"/>
        </w:rPr>
        <w:t>main institutional actors</w:t>
      </w:r>
      <w:r w:rsidR="0077169F" w:rsidRPr="009B5A0E">
        <w:rPr>
          <w:rFonts w:ascii="Helvetica" w:eastAsiaTheme="minorHAnsi" w:hAnsi="Helvetica"/>
          <w:sz w:val="22"/>
          <w:szCs w:val="22"/>
          <w:lang w:val="en-US"/>
        </w:rPr>
        <w:t>.</w:t>
      </w:r>
      <w:r w:rsidR="00645031" w:rsidRPr="009B5A0E">
        <w:rPr>
          <w:rFonts w:ascii="Helvetica" w:eastAsiaTheme="minorHAnsi" w:hAnsi="Helvetica"/>
          <w:sz w:val="22"/>
          <w:szCs w:val="22"/>
          <w:lang w:val="en-US"/>
        </w:rPr>
        <w:t xml:space="preserve"> Here, </w:t>
      </w:r>
      <w:r w:rsidR="00FC1B7F" w:rsidRPr="009B5A0E">
        <w:rPr>
          <w:rFonts w:ascii="Helvetica" w:eastAsiaTheme="minorHAnsi" w:hAnsi="Helvetica"/>
          <w:sz w:val="22"/>
          <w:szCs w:val="22"/>
          <w:lang w:val="en-US"/>
        </w:rPr>
        <w:t>VAP seeks to mobilize a</w:t>
      </w:r>
      <w:r w:rsidR="00645031" w:rsidRPr="009B5A0E">
        <w:rPr>
          <w:rFonts w:ascii="Helvetica" w:eastAsiaTheme="minorHAnsi" w:hAnsi="Helvetica"/>
          <w:sz w:val="22"/>
          <w:szCs w:val="22"/>
          <w:lang w:val="en-US"/>
        </w:rPr>
        <w:t xml:space="preserve"> strategic advocacy effort </w:t>
      </w:r>
      <w:r w:rsidR="00FC1B7F" w:rsidRPr="009B5A0E">
        <w:rPr>
          <w:rFonts w:ascii="Helvetica" w:eastAsiaTheme="minorHAnsi" w:hAnsi="Helvetica"/>
          <w:sz w:val="22"/>
          <w:szCs w:val="22"/>
          <w:lang w:val="en-US"/>
        </w:rPr>
        <w:t>based on</w:t>
      </w:r>
      <w:r w:rsidR="00645031" w:rsidRPr="009B5A0E">
        <w:rPr>
          <w:rFonts w:ascii="Helvetica" w:eastAsiaTheme="minorHAnsi" w:hAnsi="Helvetica"/>
          <w:sz w:val="22"/>
          <w:szCs w:val="22"/>
          <w:lang w:val="en-US"/>
        </w:rPr>
        <w:t xml:space="preserve"> coordinated</w:t>
      </w:r>
      <w:r w:rsidR="00FC1B7F" w:rsidRPr="009B5A0E">
        <w:rPr>
          <w:rFonts w:ascii="Helvetica" w:eastAsiaTheme="minorHAnsi" w:hAnsi="Helvetica"/>
          <w:sz w:val="22"/>
          <w:szCs w:val="22"/>
          <w:lang w:val="en-US"/>
        </w:rPr>
        <w:t>, complementary</w:t>
      </w:r>
      <w:r w:rsidR="00645031" w:rsidRPr="009B5A0E">
        <w:rPr>
          <w:rFonts w:ascii="Helvetica" w:eastAsiaTheme="minorHAnsi" w:hAnsi="Helvetica"/>
          <w:sz w:val="22"/>
          <w:szCs w:val="22"/>
          <w:lang w:val="en-US"/>
        </w:rPr>
        <w:t xml:space="preserve"> </w:t>
      </w:r>
      <w:r w:rsidR="00FC1B7F" w:rsidRPr="009B5A0E">
        <w:rPr>
          <w:rFonts w:ascii="Helvetica" w:eastAsiaTheme="minorHAnsi" w:hAnsi="Helvetica"/>
          <w:sz w:val="22"/>
          <w:szCs w:val="22"/>
          <w:lang w:val="en-US"/>
        </w:rPr>
        <w:t>contributions</w:t>
      </w:r>
      <w:r w:rsidR="00645031" w:rsidRPr="009B5A0E">
        <w:rPr>
          <w:rFonts w:ascii="Helvetica" w:eastAsiaTheme="minorHAnsi" w:hAnsi="Helvetica"/>
          <w:sz w:val="22"/>
          <w:szCs w:val="22"/>
          <w:lang w:val="en-US"/>
        </w:rPr>
        <w:t xml:space="preserve"> of SALSGIR, ULSG, MF and other stakeholders</w:t>
      </w:r>
      <w:r w:rsidR="00FC1B7F" w:rsidRPr="009B5A0E">
        <w:rPr>
          <w:rFonts w:ascii="Helvetica" w:eastAsiaTheme="minorHAnsi" w:hAnsi="Helvetica"/>
          <w:sz w:val="22"/>
          <w:szCs w:val="22"/>
          <w:lang w:val="en-US"/>
        </w:rPr>
        <w:t>.</w:t>
      </w:r>
      <w:r w:rsidR="000B2198" w:rsidRPr="009B5A0E">
        <w:rPr>
          <w:rFonts w:ascii="Helvetica" w:eastAsiaTheme="minorHAnsi" w:hAnsi="Helvetica"/>
          <w:sz w:val="22"/>
          <w:szCs w:val="22"/>
        </w:rPr>
        <w:t xml:space="preserve"> This effort capitalizes on existing institutional objectives of each partner. </w:t>
      </w:r>
    </w:p>
    <w:p w14:paraId="41DD18FA" w14:textId="77777777" w:rsidR="000B2198" w:rsidRPr="009B5A0E" w:rsidRDefault="000B2198" w:rsidP="002D4789">
      <w:pPr>
        <w:jc w:val="both"/>
        <w:rPr>
          <w:rFonts w:ascii="Helvetica" w:eastAsiaTheme="minorHAnsi" w:hAnsi="Helvetica"/>
          <w:sz w:val="22"/>
          <w:szCs w:val="22"/>
        </w:rPr>
      </w:pPr>
    </w:p>
    <w:p w14:paraId="5A1405E3" w14:textId="77777777" w:rsidR="00E278CF" w:rsidRPr="009B5A0E" w:rsidRDefault="00BA4B66" w:rsidP="002D4789">
      <w:pPr>
        <w:jc w:val="both"/>
        <w:rPr>
          <w:rFonts w:ascii="Helvetica" w:eastAsiaTheme="minorHAnsi" w:hAnsi="Helvetica"/>
          <w:sz w:val="22"/>
          <w:szCs w:val="22"/>
        </w:rPr>
      </w:pPr>
      <w:r w:rsidRPr="009B5A0E">
        <w:rPr>
          <w:rFonts w:ascii="Helvetica" w:eastAsiaTheme="minorHAnsi" w:hAnsi="Helvetica"/>
          <w:sz w:val="22"/>
          <w:szCs w:val="22"/>
        </w:rPr>
        <w:t xml:space="preserve">ULSG </w:t>
      </w:r>
      <w:r w:rsidR="00E278CF" w:rsidRPr="009B5A0E">
        <w:rPr>
          <w:rFonts w:ascii="Helvetica" w:eastAsiaTheme="minorHAnsi" w:hAnsi="Helvetica"/>
          <w:sz w:val="22"/>
          <w:szCs w:val="22"/>
        </w:rPr>
        <w:t>is a primary conduit for participation of LSGs in developing the policy and legislative frameworks. Even though there have been missed opportunities in ULSG-led participation, it still remains an operational institution that can enable the LSG bodies to interact with the national government, take part in working groups developing relevant frameworks and contribute to policy initiatives from the Parliament and ministries. ULSG’s current strategy is particular about strengthening the organization’s role as a force that actively shapes and refines the municipal sector’s governing rules.</w:t>
      </w:r>
    </w:p>
    <w:p w14:paraId="64CE423C" w14:textId="4DA07DD1" w:rsidR="00234060" w:rsidRDefault="00234060" w:rsidP="002D4789">
      <w:pPr>
        <w:jc w:val="both"/>
        <w:rPr>
          <w:rFonts w:ascii="Helvetica" w:eastAsiaTheme="minorHAnsi" w:hAnsi="Helvetica"/>
          <w:sz w:val="22"/>
          <w:szCs w:val="22"/>
        </w:rPr>
      </w:pPr>
    </w:p>
    <w:p w14:paraId="2CDDD09D" w14:textId="57CFE5F1" w:rsidR="000B2669" w:rsidRPr="009B5A0E" w:rsidRDefault="000B2198" w:rsidP="002D4789">
      <w:pPr>
        <w:jc w:val="both"/>
        <w:rPr>
          <w:rFonts w:ascii="Helvetica" w:eastAsiaTheme="minorHAnsi" w:hAnsi="Helvetica"/>
          <w:sz w:val="22"/>
          <w:szCs w:val="22"/>
          <w:lang w:val="en-US"/>
        </w:rPr>
      </w:pPr>
      <w:r w:rsidRPr="009B5A0E">
        <w:rPr>
          <w:rFonts w:ascii="Helvetica" w:eastAsiaTheme="minorHAnsi" w:hAnsi="Helvetica"/>
          <w:sz w:val="22"/>
          <w:szCs w:val="22"/>
        </w:rPr>
        <w:t>A</w:t>
      </w:r>
      <w:proofErr w:type="spellStart"/>
      <w:r w:rsidR="00645031" w:rsidRPr="009B5A0E">
        <w:rPr>
          <w:rFonts w:ascii="Helvetica" w:eastAsiaTheme="minorHAnsi" w:hAnsi="Helvetica"/>
          <w:sz w:val="22"/>
          <w:szCs w:val="22"/>
          <w:lang w:val="en-US"/>
        </w:rPr>
        <w:t>s</w:t>
      </w:r>
      <w:proofErr w:type="spellEnd"/>
      <w:r w:rsidR="00645031" w:rsidRPr="009B5A0E">
        <w:rPr>
          <w:rFonts w:ascii="Helvetica" w:eastAsiaTheme="minorHAnsi" w:hAnsi="Helvetica"/>
          <w:sz w:val="22"/>
          <w:szCs w:val="22"/>
          <w:lang w:val="en-US"/>
        </w:rPr>
        <w:t xml:space="preserve"> a policy leader</w:t>
      </w:r>
      <w:r w:rsidRPr="009B5A0E">
        <w:rPr>
          <w:rFonts w:ascii="Helvetica" w:eastAsiaTheme="minorHAnsi" w:hAnsi="Helvetica"/>
          <w:sz w:val="22"/>
          <w:szCs w:val="22"/>
          <w:lang w:val="en-US"/>
        </w:rPr>
        <w:t xml:space="preserve"> in the area of municipal governance,</w:t>
      </w:r>
      <w:r w:rsidR="00645031" w:rsidRPr="009B5A0E">
        <w:rPr>
          <w:rFonts w:ascii="Helvetica" w:eastAsiaTheme="minorHAnsi" w:hAnsi="Helvetica"/>
          <w:sz w:val="22"/>
          <w:szCs w:val="22"/>
          <w:lang w:val="en-US"/>
        </w:rPr>
        <w:t xml:space="preserve"> the role of SALSGIR is </w:t>
      </w:r>
      <w:r w:rsidR="00E278CF" w:rsidRPr="009B5A0E">
        <w:rPr>
          <w:rFonts w:ascii="Helvetica" w:eastAsiaTheme="minorHAnsi" w:hAnsi="Helvetica"/>
          <w:sz w:val="22"/>
          <w:szCs w:val="22"/>
          <w:lang w:val="en-US"/>
        </w:rPr>
        <w:t xml:space="preserve">also </w:t>
      </w:r>
      <w:r w:rsidR="00645031" w:rsidRPr="009B5A0E">
        <w:rPr>
          <w:rFonts w:ascii="Helvetica" w:eastAsiaTheme="minorHAnsi" w:hAnsi="Helvetica"/>
          <w:sz w:val="22"/>
          <w:szCs w:val="22"/>
          <w:lang w:val="en-US"/>
        </w:rPr>
        <w:t>essential</w:t>
      </w:r>
      <w:r w:rsidRPr="009B5A0E">
        <w:rPr>
          <w:rFonts w:ascii="Helvetica" w:eastAsiaTheme="minorHAnsi" w:hAnsi="Helvetica"/>
          <w:sz w:val="22"/>
          <w:szCs w:val="22"/>
          <w:lang w:val="en-US"/>
        </w:rPr>
        <w:t xml:space="preserve">, </w:t>
      </w:r>
      <w:r w:rsidR="00645031" w:rsidRPr="009B5A0E">
        <w:rPr>
          <w:rFonts w:ascii="Helvetica" w:eastAsiaTheme="minorHAnsi" w:hAnsi="Helvetica"/>
          <w:sz w:val="22"/>
          <w:szCs w:val="22"/>
          <w:lang w:val="en-US"/>
        </w:rPr>
        <w:t>i</w:t>
      </w:r>
      <w:r w:rsidRPr="009B5A0E">
        <w:rPr>
          <w:rFonts w:ascii="Helvetica" w:eastAsiaTheme="minorHAnsi" w:hAnsi="Helvetica"/>
          <w:sz w:val="22"/>
          <w:szCs w:val="22"/>
          <w:lang w:val="en-US"/>
        </w:rPr>
        <w:t>t has a clearly specified responsibility for sectoral policy development. It is the main entity assigned with the task of advancing the accountability of LSGs to local communities</w:t>
      </w:r>
      <w:r w:rsidR="0077169F" w:rsidRPr="009B5A0E">
        <w:rPr>
          <w:rFonts w:ascii="Helvetica" w:eastAsiaTheme="minorHAnsi" w:hAnsi="Helvetica"/>
          <w:sz w:val="22"/>
          <w:szCs w:val="22"/>
          <w:lang w:val="en-US"/>
        </w:rPr>
        <w:t xml:space="preserve"> </w:t>
      </w:r>
      <w:r w:rsidRPr="009B5A0E">
        <w:rPr>
          <w:rFonts w:ascii="Helvetica" w:eastAsiaTheme="minorHAnsi" w:hAnsi="Helvetica"/>
          <w:sz w:val="22"/>
          <w:szCs w:val="22"/>
          <w:lang w:val="en-US"/>
        </w:rPr>
        <w:t xml:space="preserve">in relation to results of the LSG activities. </w:t>
      </w:r>
    </w:p>
    <w:p w14:paraId="5498D766" w14:textId="77777777" w:rsidR="00E278CF" w:rsidRPr="009B5A0E" w:rsidRDefault="00E278CF" w:rsidP="002D4789">
      <w:pPr>
        <w:jc w:val="both"/>
        <w:rPr>
          <w:rFonts w:ascii="Helvetica" w:eastAsiaTheme="minorHAnsi" w:hAnsi="Helvetica"/>
          <w:sz w:val="22"/>
          <w:szCs w:val="22"/>
          <w:lang w:val="en-US"/>
        </w:rPr>
      </w:pPr>
    </w:p>
    <w:p w14:paraId="068C3F05" w14:textId="77777777" w:rsidR="00E278CF" w:rsidRPr="009B5A0E" w:rsidRDefault="001E277E" w:rsidP="002D4789">
      <w:pPr>
        <w:jc w:val="both"/>
        <w:rPr>
          <w:rFonts w:ascii="Helvetica" w:eastAsiaTheme="minorHAnsi" w:hAnsi="Helvetica"/>
          <w:sz w:val="22"/>
          <w:szCs w:val="22"/>
          <w:lang w:val="en-US"/>
        </w:rPr>
      </w:pPr>
      <w:r w:rsidRPr="009B5A0E">
        <w:rPr>
          <w:rFonts w:ascii="Helvetica" w:eastAsiaTheme="minorHAnsi" w:hAnsi="Helvetica"/>
          <w:sz w:val="22"/>
          <w:szCs w:val="22"/>
          <w:lang w:val="en-US"/>
        </w:rPr>
        <w:t xml:space="preserve">The </w:t>
      </w:r>
      <w:r w:rsidR="00E278CF" w:rsidRPr="009B5A0E">
        <w:rPr>
          <w:rFonts w:ascii="Helvetica" w:eastAsiaTheme="minorHAnsi" w:hAnsi="Helvetica"/>
          <w:sz w:val="22"/>
          <w:szCs w:val="22"/>
          <w:lang w:val="en-US"/>
        </w:rPr>
        <w:t xml:space="preserve">Ministry of Finance </w:t>
      </w:r>
      <w:r w:rsidRPr="009B5A0E">
        <w:rPr>
          <w:rFonts w:ascii="Helvetica" w:eastAsiaTheme="minorHAnsi" w:hAnsi="Helvetica"/>
          <w:sz w:val="22"/>
          <w:szCs w:val="22"/>
          <w:lang w:val="en-US"/>
        </w:rPr>
        <w:t xml:space="preserve">has been a supportive and open partner in developing the regulatory and procedural base (albeit in soft terms of enforcement, with recommended mode of </w:t>
      </w:r>
      <w:r w:rsidRPr="009B5A0E">
        <w:rPr>
          <w:rFonts w:ascii="Helvetica" w:eastAsiaTheme="minorHAnsi" w:hAnsi="Helvetica"/>
          <w:sz w:val="22"/>
          <w:szCs w:val="22"/>
          <w:lang w:val="en-US"/>
        </w:rPr>
        <w:lastRenderedPageBreak/>
        <w:t xml:space="preserve">documents, as opposed to mandatory). The Ministry is responsible for efficient, transparent and equitable </w:t>
      </w:r>
      <w:r w:rsidR="0082627B" w:rsidRPr="009B5A0E">
        <w:rPr>
          <w:rFonts w:ascii="Helvetica" w:eastAsiaTheme="minorHAnsi" w:hAnsi="Helvetica"/>
          <w:sz w:val="22"/>
          <w:szCs w:val="22"/>
          <w:lang w:val="en-US"/>
        </w:rPr>
        <w:t xml:space="preserve">planning and </w:t>
      </w:r>
      <w:r w:rsidRPr="009B5A0E">
        <w:rPr>
          <w:rFonts w:ascii="Helvetica" w:eastAsiaTheme="minorHAnsi" w:hAnsi="Helvetica"/>
          <w:sz w:val="22"/>
          <w:szCs w:val="22"/>
          <w:lang w:val="en-US"/>
        </w:rPr>
        <w:t>expenditure of local budgets</w:t>
      </w:r>
      <w:r w:rsidR="0082627B" w:rsidRPr="009B5A0E">
        <w:rPr>
          <w:rFonts w:ascii="Helvetica" w:eastAsiaTheme="minorHAnsi" w:hAnsi="Helvetica"/>
          <w:sz w:val="22"/>
          <w:szCs w:val="22"/>
          <w:lang w:val="en-US"/>
        </w:rPr>
        <w:t>. It holds significant influence on LSGs as a body planning and allocating the national budget transfers to LSGs.</w:t>
      </w:r>
    </w:p>
    <w:p w14:paraId="4D5A69EC" w14:textId="77777777" w:rsidR="00E278CF" w:rsidRPr="009B5A0E" w:rsidRDefault="00E278CF" w:rsidP="002D4789">
      <w:pPr>
        <w:jc w:val="both"/>
        <w:rPr>
          <w:rFonts w:ascii="Helvetica" w:eastAsiaTheme="minorHAnsi" w:hAnsi="Helvetica"/>
          <w:sz w:val="22"/>
          <w:szCs w:val="22"/>
          <w:lang w:val="en-US"/>
        </w:rPr>
      </w:pPr>
    </w:p>
    <w:p w14:paraId="787D0C1C" w14:textId="26BED3B9" w:rsidR="00E278CF" w:rsidRPr="009B5A0E" w:rsidRDefault="00E278CF" w:rsidP="002D4789">
      <w:pPr>
        <w:jc w:val="both"/>
        <w:rPr>
          <w:rFonts w:ascii="Helvetica" w:eastAsiaTheme="minorHAnsi" w:hAnsi="Helvetica"/>
          <w:sz w:val="22"/>
          <w:szCs w:val="22"/>
          <w:lang w:val="en-US"/>
        </w:rPr>
      </w:pPr>
      <w:r w:rsidRPr="009B5A0E">
        <w:rPr>
          <w:rFonts w:ascii="Helvetica" w:eastAsiaTheme="minorHAnsi" w:hAnsi="Helvetica"/>
          <w:sz w:val="22"/>
          <w:szCs w:val="22"/>
          <w:lang w:val="en-US"/>
        </w:rPr>
        <w:t>T</w:t>
      </w:r>
      <w:r w:rsidR="0082627B" w:rsidRPr="009B5A0E">
        <w:rPr>
          <w:rFonts w:ascii="Helvetica" w:eastAsiaTheme="minorHAnsi" w:hAnsi="Helvetica"/>
          <w:sz w:val="22"/>
          <w:szCs w:val="22"/>
          <w:lang w:val="en-US"/>
        </w:rPr>
        <w:t>ogether, t</w:t>
      </w:r>
      <w:r w:rsidRPr="009B5A0E">
        <w:rPr>
          <w:rFonts w:ascii="Helvetica" w:eastAsiaTheme="minorHAnsi" w:hAnsi="Helvetica"/>
          <w:sz w:val="22"/>
          <w:szCs w:val="22"/>
          <w:lang w:val="en-US"/>
        </w:rPr>
        <w:t>he stakeholders mentioned above have substantial powers in effecting change in relation to achieving a nationwide compliance of LSG parti</w:t>
      </w:r>
      <w:r w:rsidR="00627CBB">
        <w:rPr>
          <w:rFonts w:ascii="Helvetica" w:eastAsiaTheme="minorHAnsi" w:hAnsi="Helvetica"/>
          <w:sz w:val="22"/>
          <w:szCs w:val="22"/>
          <w:lang w:val="en-US"/>
        </w:rPr>
        <w:t xml:space="preserve">cipatory budgeting. </w:t>
      </w:r>
    </w:p>
    <w:p w14:paraId="0D3ED26E" w14:textId="77777777" w:rsidR="00723925" w:rsidRPr="009B5A0E" w:rsidRDefault="00CD5200" w:rsidP="003D2267">
      <w:pPr>
        <w:pStyle w:val="2"/>
        <w:tabs>
          <w:tab w:val="clear" w:pos="567"/>
        </w:tabs>
        <w:ind w:left="720"/>
        <w:rPr>
          <w:rFonts w:ascii="Helvetica" w:eastAsiaTheme="minorHAnsi" w:hAnsi="Helvetica"/>
        </w:rPr>
      </w:pPr>
      <w:bookmarkStart w:id="8" w:name="_Toc48896055"/>
      <w:r w:rsidRPr="009B5A0E">
        <w:rPr>
          <w:rFonts w:ascii="Helvetica" w:eastAsiaTheme="minorHAnsi" w:hAnsi="Helvetica"/>
        </w:rPr>
        <w:t>Strategic emphasis on inclusion, gender-responsiveness and conflict sensitivity</w:t>
      </w:r>
      <w:bookmarkEnd w:id="8"/>
    </w:p>
    <w:p w14:paraId="28522CB9" w14:textId="25F86BC6" w:rsidR="00106FE3" w:rsidRDefault="00A552D0" w:rsidP="00A552D0">
      <w:pPr>
        <w:jc w:val="both"/>
        <w:rPr>
          <w:rFonts w:ascii="Helvetica" w:hAnsi="Helvetica"/>
          <w:sz w:val="22"/>
          <w:szCs w:val="22"/>
        </w:rPr>
      </w:pPr>
      <w:r w:rsidRPr="009B5A0E">
        <w:rPr>
          <w:rFonts w:ascii="Helvetica" w:eastAsiaTheme="minorHAnsi" w:hAnsi="Helvetica"/>
          <w:sz w:val="22"/>
          <w:szCs w:val="22"/>
          <w:lang w:val="en-US"/>
        </w:rPr>
        <w:t>In planning and delivering each output in particular and the project impact in general, VAP will build on prior phase activities and ensure continuity, with sustained emphasis o</w:t>
      </w:r>
      <w:r w:rsidR="00CD5200" w:rsidRPr="009B5A0E">
        <w:rPr>
          <w:rFonts w:ascii="Helvetica" w:eastAsiaTheme="minorHAnsi" w:hAnsi="Helvetica"/>
          <w:sz w:val="22"/>
          <w:szCs w:val="22"/>
          <w:lang w:val="en-US"/>
        </w:rPr>
        <w:t>n</w:t>
      </w:r>
      <w:r w:rsidRPr="009B5A0E">
        <w:rPr>
          <w:rFonts w:ascii="Helvetica" w:eastAsiaTheme="minorHAnsi" w:hAnsi="Helvetica"/>
          <w:sz w:val="22"/>
          <w:szCs w:val="22"/>
          <w:lang w:val="en-US"/>
        </w:rPr>
        <w:t xml:space="preserve"> </w:t>
      </w:r>
      <w:r w:rsidR="00CD5200" w:rsidRPr="009B5A0E">
        <w:rPr>
          <w:rFonts w:ascii="Helvetica" w:hAnsi="Helvetica"/>
          <w:sz w:val="22"/>
          <w:szCs w:val="22"/>
        </w:rPr>
        <w:t>inclusive</w:t>
      </w:r>
      <w:r w:rsidRPr="009B5A0E">
        <w:rPr>
          <w:rFonts w:ascii="Helvetica" w:hAnsi="Helvetica"/>
          <w:sz w:val="22"/>
          <w:szCs w:val="22"/>
        </w:rPr>
        <w:t xml:space="preserve">, representative and participatory process, in relation to gender, ethnicity, social, economic status, with particular attention to disenfranchised, underrepresented, excluded groups. </w:t>
      </w:r>
    </w:p>
    <w:p w14:paraId="7E1F9F22" w14:textId="0CB695D3" w:rsidR="005251F7" w:rsidRPr="00E133F1" w:rsidRDefault="00106FE3" w:rsidP="00627CBB">
      <w:pPr>
        <w:spacing w:before="120"/>
        <w:jc w:val="both"/>
        <w:rPr>
          <w:rFonts w:ascii="Helvetica" w:hAnsi="Helvetica"/>
          <w:sz w:val="22"/>
          <w:szCs w:val="22"/>
        </w:rPr>
      </w:pPr>
      <w:r w:rsidRPr="00E133F1">
        <w:rPr>
          <w:rFonts w:ascii="Helvetica" w:hAnsi="Helvetica"/>
          <w:sz w:val="22"/>
          <w:szCs w:val="22"/>
        </w:rPr>
        <w:t>Without a full-fledged gender analysis, VAP’s field experience and project learning suggests the need to strengthen the gender dimension across the Exit Phase programming. Locally, despite early signs of change, women are underrepresented at local councils</w:t>
      </w:r>
      <w:r w:rsidR="00D021B6" w:rsidRPr="00E133F1">
        <w:rPr>
          <w:rFonts w:ascii="Helvetica" w:hAnsi="Helvetica"/>
          <w:sz w:val="22"/>
          <w:szCs w:val="22"/>
        </w:rPr>
        <w:t xml:space="preserve"> and municipal servant pools. There has been highly publicised resistance in some cases to quotas for women members of local councils. </w:t>
      </w:r>
    </w:p>
    <w:p w14:paraId="0EA1FE7E" w14:textId="77777777" w:rsidR="00EF429F" w:rsidRPr="00E133F1" w:rsidRDefault="00EF429F" w:rsidP="005251F7">
      <w:pPr>
        <w:jc w:val="both"/>
        <w:rPr>
          <w:rFonts w:ascii="Helvetica" w:hAnsi="Helvetica"/>
          <w:sz w:val="22"/>
          <w:szCs w:val="22"/>
        </w:rPr>
      </w:pPr>
    </w:p>
    <w:p w14:paraId="320E2084" w14:textId="00EFE7F3" w:rsidR="005251F7" w:rsidRPr="00E133F1" w:rsidRDefault="00D021B6" w:rsidP="005251F7">
      <w:pPr>
        <w:jc w:val="both"/>
        <w:rPr>
          <w:rFonts w:ascii="Helvetica" w:hAnsi="Helvetica"/>
          <w:sz w:val="22"/>
          <w:szCs w:val="22"/>
        </w:rPr>
      </w:pPr>
      <w:r w:rsidRPr="00E133F1">
        <w:rPr>
          <w:rFonts w:ascii="Helvetica" w:hAnsi="Helvetica"/>
          <w:sz w:val="22"/>
          <w:szCs w:val="22"/>
        </w:rPr>
        <w:t>Women represent an increasingly more active part of the local community, taking part in budget hearings, local development planning and decision-making, but the models of token inclusion still prevail.</w:t>
      </w:r>
      <w:r w:rsidR="00106FE3" w:rsidRPr="00E133F1">
        <w:rPr>
          <w:rFonts w:ascii="Helvetica" w:hAnsi="Helvetica"/>
          <w:sz w:val="22"/>
          <w:szCs w:val="22"/>
        </w:rPr>
        <w:t xml:space="preserve"> </w:t>
      </w:r>
      <w:r w:rsidRPr="00E133F1">
        <w:rPr>
          <w:rFonts w:ascii="Helvetica" w:hAnsi="Helvetica"/>
          <w:sz w:val="22"/>
          <w:szCs w:val="22"/>
        </w:rPr>
        <w:t>M</w:t>
      </w:r>
      <w:r w:rsidR="00106FE3" w:rsidRPr="00E133F1">
        <w:rPr>
          <w:rFonts w:ascii="Helvetica" w:hAnsi="Helvetica"/>
          <w:sz w:val="22"/>
          <w:szCs w:val="22"/>
        </w:rPr>
        <w:t xml:space="preserve">unicipal servants and council deputies lack </w:t>
      </w:r>
      <w:r w:rsidRPr="00E133F1">
        <w:rPr>
          <w:rFonts w:ascii="Helvetica" w:hAnsi="Helvetica"/>
          <w:sz w:val="22"/>
          <w:szCs w:val="22"/>
        </w:rPr>
        <w:t xml:space="preserve">access to gender-responsive capacity building opportunities. </w:t>
      </w:r>
      <w:r w:rsidR="005251F7" w:rsidRPr="00E133F1">
        <w:rPr>
          <w:rFonts w:ascii="Helvetica" w:hAnsi="Helvetica"/>
          <w:sz w:val="22"/>
          <w:szCs w:val="22"/>
        </w:rPr>
        <w:t xml:space="preserve">Local budget decisions often fail to address gender inequality, and often tend to inadvertently deepen the cultural, economic and governance patterns that suppress women (e.g. in socio-cultural development planning, sports, elections management). </w:t>
      </w:r>
    </w:p>
    <w:p w14:paraId="648B6B44" w14:textId="539F0AE2" w:rsidR="005251F7" w:rsidRPr="00E133F1" w:rsidRDefault="005251F7" w:rsidP="00A552D0">
      <w:pPr>
        <w:jc w:val="both"/>
        <w:rPr>
          <w:rFonts w:ascii="Helvetica" w:hAnsi="Helvetica"/>
          <w:sz w:val="22"/>
          <w:szCs w:val="22"/>
        </w:rPr>
      </w:pPr>
    </w:p>
    <w:p w14:paraId="76209B5A" w14:textId="1B06C1BB" w:rsidR="005251F7" w:rsidRPr="00E133F1" w:rsidRDefault="005251F7" w:rsidP="005251F7">
      <w:pPr>
        <w:jc w:val="both"/>
        <w:rPr>
          <w:rFonts w:ascii="Helvetica" w:hAnsi="Helvetica"/>
          <w:sz w:val="22"/>
          <w:szCs w:val="22"/>
        </w:rPr>
      </w:pPr>
      <w:r w:rsidRPr="00E133F1">
        <w:rPr>
          <w:rFonts w:ascii="Helvetica" w:hAnsi="Helvetica"/>
          <w:sz w:val="22"/>
          <w:szCs w:val="22"/>
        </w:rPr>
        <w:t xml:space="preserve">There is limited awareness of existing countrywide legal frameworks promoting gender equality, such as the National Gender Strategy on Achieving Gender Equality, the Law on State Guarantees Equal Rights and Equal Opportunities for Men and Women, and other related legislation and regulations. LSGs are also seen as actors that underperform in their contribution to prevention of domestic violence, bride kidnapping, underage marriage, and unequal property rights. Even though some </w:t>
      </w:r>
      <w:r w:rsidR="00913652" w:rsidRPr="00E133F1">
        <w:rPr>
          <w:rFonts w:ascii="Helvetica" w:hAnsi="Helvetica"/>
          <w:sz w:val="22"/>
          <w:szCs w:val="22"/>
        </w:rPr>
        <w:t>improvements have been introduced, t</w:t>
      </w:r>
      <w:r w:rsidRPr="00E133F1">
        <w:rPr>
          <w:rFonts w:ascii="Helvetica" w:hAnsi="Helvetica"/>
          <w:sz w:val="22"/>
          <w:szCs w:val="22"/>
        </w:rPr>
        <w:t xml:space="preserve">he </w:t>
      </w:r>
      <w:r w:rsidR="00913652" w:rsidRPr="00E133F1">
        <w:rPr>
          <w:rFonts w:ascii="Helvetica" w:hAnsi="Helvetica"/>
          <w:sz w:val="22"/>
          <w:szCs w:val="22"/>
        </w:rPr>
        <w:t xml:space="preserve">main actors within the </w:t>
      </w:r>
      <w:r w:rsidRPr="00E133F1">
        <w:rPr>
          <w:rFonts w:ascii="Helvetica" w:hAnsi="Helvetica"/>
          <w:sz w:val="22"/>
          <w:szCs w:val="22"/>
        </w:rPr>
        <w:t>national system for municipal sector governance</w:t>
      </w:r>
      <w:r w:rsidR="00913652" w:rsidRPr="00E133F1">
        <w:rPr>
          <w:rFonts w:ascii="Helvetica" w:hAnsi="Helvetica"/>
          <w:sz w:val="22"/>
          <w:szCs w:val="22"/>
        </w:rPr>
        <w:t xml:space="preserve"> – ULSG, GAMSUMO, MF –</w:t>
      </w:r>
      <w:r w:rsidRPr="00E133F1">
        <w:rPr>
          <w:rFonts w:ascii="Helvetica" w:hAnsi="Helvetica"/>
          <w:sz w:val="22"/>
          <w:szCs w:val="22"/>
        </w:rPr>
        <w:t xml:space="preserve"> </w:t>
      </w:r>
      <w:r w:rsidR="00913652" w:rsidRPr="00E133F1">
        <w:rPr>
          <w:rFonts w:ascii="Helvetica" w:hAnsi="Helvetica"/>
          <w:sz w:val="22"/>
          <w:szCs w:val="22"/>
        </w:rPr>
        <w:t>have not yet acquired</w:t>
      </w:r>
      <w:r w:rsidRPr="00E133F1">
        <w:rPr>
          <w:rFonts w:ascii="Helvetica" w:hAnsi="Helvetica"/>
          <w:sz w:val="22"/>
          <w:szCs w:val="22"/>
        </w:rPr>
        <w:t xml:space="preserve"> well-defined data collection, analysis and response functions, capacities and</w:t>
      </w:r>
      <w:r w:rsidR="00913652" w:rsidRPr="00E133F1">
        <w:rPr>
          <w:rFonts w:ascii="Helvetica" w:hAnsi="Helvetica"/>
          <w:sz w:val="22"/>
          <w:szCs w:val="22"/>
        </w:rPr>
        <w:t xml:space="preserve"> to a lesser extent, </w:t>
      </w:r>
      <w:r w:rsidRPr="00E133F1">
        <w:rPr>
          <w:rFonts w:ascii="Helvetica" w:hAnsi="Helvetica"/>
          <w:sz w:val="22"/>
          <w:szCs w:val="22"/>
        </w:rPr>
        <w:t xml:space="preserve">political will to </w:t>
      </w:r>
      <w:r w:rsidR="00913652" w:rsidRPr="00E133F1">
        <w:rPr>
          <w:rFonts w:ascii="Helvetica" w:hAnsi="Helvetica"/>
          <w:sz w:val="22"/>
          <w:szCs w:val="22"/>
        </w:rPr>
        <w:t>act on these and other areas of weakness.</w:t>
      </w:r>
    </w:p>
    <w:p w14:paraId="077076E6" w14:textId="77777777" w:rsidR="00106FE3" w:rsidRPr="00E133F1" w:rsidRDefault="00106FE3" w:rsidP="00A552D0">
      <w:pPr>
        <w:jc w:val="both"/>
        <w:rPr>
          <w:rFonts w:ascii="Helvetica" w:hAnsi="Helvetica"/>
          <w:sz w:val="22"/>
          <w:szCs w:val="22"/>
        </w:rPr>
      </w:pPr>
    </w:p>
    <w:p w14:paraId="71514533" w14:textId="373C47AB" w:rsidR="009F4580" w:rsidRPr="00E133F1" w:rsidRDefault="005251F7" w:rsidP="00A552D0">
      <w:pPr>
        <w:jc w:val="both"/>
        <w:rPr>
          <w:rFonts w:ascii="Helvetica" w:hAnsi="Helvetica"/>
          <w:sz w:val="22"/>
          <w:szCs w:val="22"/>
        </w:rPr>
      </w:pPr>
      <w:r w:rsidRPr="00E133F1">
        <w:rPr>
          <w:rFonts w:ascii="Helvetica" w:hAnsi="Helvetica"/>
          <w:sz w:val="22"/>
          <w:szCs w:val="22"/>
        </w:rPr>
        <w:t>Considering these challenges, the VAP project envisions that f</w:t>
      </w:r>
      <w:r w:rsidR="009F4580" w:rsidRPr="00E133F1">
        <w:rPr>
          <w:rFonts w:ascii="Helvetica" w:hAnsi="Helvetica"/>
          <w:sz w:val="22"/>
          <w:szCs w:val="22"/>
        </w:rPr>
        <w:t>ollowing indicative activities will be undertaken:</w:t>
      </w:r>
    </w:p>
    <w:p w14:paraId="55D896B5" w14:textId="77777777" w:rsidR="007C348B" w:rsidRPr="007C348B" w:rsidRDefault="007C348B" w:rsidP="000449F3">
      <w:pPr>
        <w:pStyle w:val="a4"/>
        <w:numPr>
          <w:ilvl w:val="0"/>
          <w:numId w:val="10"/>
        </w:numPr>
        <w:jc w:val="both"/>
        <w:rPr>
          <w:rFonts w:ascii="Helvetica" w:hAnsi="Helvetica"/>
          <w:sz w:val="22"/>
          <w:szCs w:val="22"/>
        </w:rPr>
      </w:pPr>
      <w:r>
        <w:rPr>
          <w:rFonts w:ascii="Helvetica" w:hAnsi="Helvetica"/>
          <w:sz w:val="22"/>
          <w:szCs w:val="22"/>
        </w:rPr>
        <w:t>Throughout its work on the Portal of Best Practices, VAP will consolidate, define and disseminate a resource section devoted to gender-responsive budgeting, with a supporting communication campaign that engages the target audiences.</w:t>
      </w:r>
    </w:p>
    <w:p w14:paraId="711A8E38" w14:textId="77777777" w:rsidR="009F4580" w:rsidRPr="009F4580" w:rsidRDefault="009F4580" w:rsidP="000449F3">
      <w:pPr>
        <w:pStyle w:val="a4"/>
        <w:numPr>
          <w:ilvl w:val="0"/>
          <w:numId w:val="10"/>
        </w:numPr>
        <w:jc w:val="both"/>
        <w:rPr>
          <w:rFonts w:ascii="Helvetica" w:hAnsi="Helvetica"/>
          <w:sz w:val="22"/>
          <w:szCs w:val="22"/>
        </w:rPr>
      </w:pPr>
      <w:r>
        <w:rPr>
          <w:rFonts w:ascii="Helvetica" w:hAnsi="Helvetica"/>
          <w:sz w:val="22"/>
          <w:szCs w:val="22"/>
          <w:lang w:val="en-CA"/>
        </w:rPr>
        <w:t>In the direction of working on new legal and regulatory frameworks, VAP will conduct as one of the key pre-requisites a comprehensive gender expertise of all the documents developed and submitted under the project’s Outcome 2. VAP will also provide</w:t>
      </w:r>
      <w:r w:rsidR="007C348B">
        <w:rPr>
          <w:rFonts w:ascii="Helvetica" w:hAnsi="Helvetica"/>
          <w:sz w:val="22"/>
          <w:szCs w:val="22"/>
          <w:lang w:val="en-CA"/>
        </w:rPr>
        <w:t xml:space="preserve"> workshops on</w:t>
      </w:r>
      <w:r>
        <w:rPr>
          <w:rFonts w:ascii="Helvetica" w:hAnsi="Helvetica"/>
          <w:sz w:val="22"/>
          <w:szCs w:val="22"/>
          <w:lang w:val="en-CA"/>
        </w:rPr>
        <w:t xml:space="preserve"> gender</w:t>
      </w:r>
      <w:r w:rsidR="007C348B">
        <w:rPr>
          <w:rFonts w:ascii="Helvetica" w:hAnsi="Helvetica"/>
          <w:sz w:val="22"/>
          <w:szCs w:val="22"/>
          <w:lang w:val="en-CA"/>
        </w:rPr>
        <w:t xml:space="preserve"> aspects of legislative development for the working group members engaged in legislative development.</w:t>
      </w:r>
    </w:p>
    <w:p w14:paraId="22CEECD6" w14:textId="77777777" w:rsidR="009F4580" w:rsidRPr="007C348B" w:rsidRDefault="009F4580" w:rsidP="000449F3">
      <w:pPr>
        <w:pStyle w:val="a4"/>
        <w:numPr>
          <w:ilvl w:val="0"/>
          <w:numId w:val="10"/>
        </w:numPr>
        <w:jc w:val="both"/>
        <w:rPr>
          <w:rFonts w:ascii="Helvetica" w:hAnsi="Helvetica"/>
          <w:sz w:val="22"/>
          <w:szCs w:val="22"/>
        </w:rPr>
      </w:pPr>
      <w:r>
        <w:rPr>
          <w:rFonts w:ascii="Helvetica" w:hAnsi="Helvetica"/>
          <w:sz w:val="22"/>
          <w:szCs w:val="22"/>
          <w:lang w:val="en-CA"/>
        </w:rPr>
        <w:t>In collaboration with the SPS and interested regional universities, gender-informed and gender-sensitive review of the current curriculum and content provided to municipal servants under the SPS-led qualification upgrade system with recommendations;</w:t>
      </w:r>
    </w:p>
    <w:p w14:paraId="77609632" w14:textId="4AB530F6" w:rsidR="007C348B" w:rsidRPr="00E133F1" w:rsidRDefault="007C348B" w:rsidP="000449F3">
      <w:pPr>
        <w:pStyle w:val="a4"/>
        <w:numPr>
          <w:ilvl w:val="0"/>
          <w:numId w:val="10"/>
        </w:numPr>
        <w:jc w:val="both"/>
        <w:rPr>
          <w:rFonts w:ascii="Helvetica" w:hAnsi="Helvetica"/>
          <w:sz w:val="22"/>
          <w:szCs w:val="22"/>
        </w:rPr>
      </w:pPr>
      <w:r>
        <w:rPr>
          <w:rFonts w:ascii="Helvetica" w:hAnsi="Helvetica"/>
          <w:sz w:val="22"/>
          <w:szCs w:val="22"/>
          <w:lang w:val="en-CA"/>
        </w:rPr>
        <w:t xml:space="preserve">In its work with the Ministry of Finance, VAP will advocate for provision of more detailed, disaggregated data on the public hearings, achieving additional clarity on: 1) number and </w:t>
      </w:r>
      <w:r>
        <w:rPr>
          <w:rFonts w:ascii="Helvetica" w:hAnsi="Helvetica"/>
          <w:sz w:val="22"/>
          <w:szCs w:val="22"/>
          <w:lang w:val="en-CA"/>
        </w:rPr>
        <w:lastRenderedPageBreak/>
        <w:t xml:space="preserve">share of citizen recommendations received from women; 2) number and share of such </w:t>
      </w:r>
      <w:r w:rsidRPr="00E133F1">
        <w:rPr>
          <w:rFonts w:ascii="Helvetica" w:hAnsi="Helvetica"/>
          <w:sz w:val="22"/>
          <w:szCs w:val="22"/>
          <w:lang w:val="en-CA"/>
        </w:rPr>
        <w:t>recommendations that were considered and integrated in local budgets</w:t>
      </w:r>
      <w:r w:rsidR="003A1EF2" w:rsidRPr="00E133F1">
        <w:rPr>
          <w:rFonts w:ascii="Helvetica" w:hAnsi="Helvetica"/>
          <w:sz w:val="22"/>
          <w:szCs w:val="22"/>
          <w:lang w:val="en-CA"/>
        </w:rPr>
        <w:t>;</w:t>
      </w:r>
    </w:p>
    <w:p w14:paraId="24242BDB" w14:textId="26C0E118" w:rsidR="003A1EF2" w:rsidRPr="00E133F1" w:rsidRDefault="003A1EF2" w:rsidP="000449F3">
      <w:pPr>
        <w:pStyle w:val="a4"/>
        <w:numPr>
          <w:ilvl w:val="0"/>
          <w:numId w:val="10"/>
        </w:numPr>
        <w:jc w:val="both"/>
        <w:rPr>
          <w:rFonts w:ascii="Helvetica" w:hAnsi="Helvetica"/>
          <w:sz w:val="22"/>
          <w:szCs w:val="22"/>
        </w:rPr>
      </w:pPr>
      <w:r w:rsidRPr="00E133F1">
        <w:rPr>
          <w:rFonts w:ascii="Helvetica" w:hAnsi="Helvetica"/>
          <w:sz w:val="22"/>
          <w:szCs w:val="22"/>
          <w:lang w:val="en-CA"/>
        </w:rPr>
        <w:t xml:space="preserve">The Leadership School for young women running in the local elections of Spring 2021 will further strengthen the gender-responsive dimensions of local governance. </w:t>
      </w:r>
    </w:p>
    <w:p w14:paraId="4F6EEECE" w14:textId="77777777" w:rsidR="007C348B" w:rsidRPr="007C348B" w:rsidRDefault="007C348B" w:rsidP="000449F3">
      <w:pPr>
        <w:pStyle w:val="a4"/>
        <w:numPr>
          <w:ilvl w:val="0"/>
          <w:numId w:val="10"/>
        </w:numPr>
        <w:jc w:val="both"/>
        <w:rPr>
          <w:rFonts w:ascii="Helvetica" w:hAnsi="Helvetica"/>
          <w:sz w:val="22"/>
          <w:szCs w:val="22"/>
        </w:rPr>
      </w:pPr>
      <w:r w:rsidRPr="00E133F1">
        <w:rPr>
          <w:rFonts w:ascii="Helvetica" w:hAnsi="Helvetica"/>
          <w:sz w:val="22"/>
          <w:szCs w:val="22"/>
        </w:rPr>
        <w:t>W</w:t>
      </w:r>
      <w:proofErr w:type="spellStart"/>
      <w:r w:rsidR="00A552D0" w:rsidRPr="00E133F1">
        <w:rPr>
          <w:rFonts w:ascii="Helvetica" w:hAnsi="Helvetica"/>
          <w:sz w:val="22"/>
          <w:szCs w:val="22"/>
          <w:lang w:val="en"/>
        </w:rPr>
        <w:t>ithin</w:t>
      </w:r>
      <w:proofErr w:type="spellEnd"/>
      <w:r w:rsidR="00A552D0" w:rsidRPr="00E133F1">
        <w:rPr>
          <w:rFonts w:ascii="Helvetica" w:hAnsi="Helvetica"/>
          <w:sz w:val="22"/>
          <w:szCs w:val="22"/>
          <w:lang w:val="en"/>
        </w:rPr>
        <w:t xml:space="preserve"> local engagements, VAP will explore partnerships with multiple existing </w:t>
      </w:r>
      <w:r w:rsidR="00A552D0" w:rsidRPr="007C348B">
        <w:rPr>
          <w:rFonts w:ascii="Helvetica" w:hAnsi="Helvetica"/>
          <w:sz w:val="22"/>
          <w:szCs w:val="22"/>
          <w:lang w:val="en"/>
        </w:rPr>
        <w:t xml:space="preserve">movements that have not been engaged previously. One example is the organization of religious women leaders - </w:t>
      </w:r>
      <w:proofErr w:type="spellStart"/>
      <w:r w:rsidR="00A552D0" w:rsidRPr="007C348B">
        <w:rPr>
          <w:rFonts w:ascii="Helvetica" w:hAnsi="Helvetica"/>
          <w:sz w:val="22"/>
          <w:szCs w:val="22"/>
          <w:lang w:val="en"/>
        </w:rPr>
        <w:t>Mutakalim</w:t>
      </w:r>
      <w:proofErr w:type="spellEnd"/>
      <w:r w:rsidR="00A552D0" w:rsidRPr="007C348B">
        <w:rPr>
          <w:rFonts w:ascii="Helvetica" w:hAnsi="Helvetica"/>
          <w:sz w:val="22"/>
          <w:szCs w:val="22"/>
          <w:lang w:val="en"/>
        </w:rPr>
        <w:t>, an emerging primarily rural women’s rights network with religious education roots. The network is strengthening its interest in local community participation and contribution to local decision-making, including through pooling of local resources. Such partnerships can build both the gender-responsive elements of local participatory budgeting and help mobilize new underrepresented groups with limited history of engagement by all stakeholders.</w:t>
      </w:r>
    </w:p>
    <w:p w14:paraId="6DCC2B60" w14:textId="77777777" w:rsidR="00723925" w:rsidRPr="009B5A0E" w:rsidRDefault="00723925" w:rsidP="002D4789">
      <w:pPr>
        <w:jc w:val="both"/>
        <w:rPr>
          <w:rFonts w:ascii="Helvetica" w:eastAsiaTheme="minorHAnsi" w:hAnsi="Helvetica"/>
          <w:sz w:val="22"/>
          <w:szCs w:val="22"/>
          <w:lang w:val="en-US"/>
        </w:rPr>
      </w:pPr>
    </w:p>
    <w:p w14:paraId="4CA8FA36" w14:textId="77777777" w:rsidR="00307CB9" w:rsidRPr="00307CB9" w:rsidRDefault="00CD5200" w:rsidP="00307CB9">
      <w:pPr>
        <w:jc w:val="both"/>
        <w:rPr>
          <w:rFonts w:ascii="Helvetica" w:eastAsiaTheme="minorHAnsi" w:hAnsi="Helvetica"/>
          <w:sz w:val="22"/>
          <w:szCs w:val="22"/>
          <w:lang w:val="en-US"/>
        </w:rPr>
      </w:pPr>
      <w:r w:rsidRPr="009B5A0E">
        <w:rPr>
          <w:rFonts w:ascii="Helvetica" w:eastAsiaTheme="minorHAnsi" w:hAnsi="Helvetica"/>
          <w:sz w:val="22"/>
          <w:szCs w:val="22"/>
          <w:lang w:val="en-US"/>
        </w:rPr>
        <w:t xml:space="preserve">In relation to </w:t>
      </w:r>
      <w:r w:rsidR="00307CB9">
        <w:rPr>
          <w:rFonts w:ascii="Helvetica" w:eastAsiaTheme="minorHAnsi" w:hAnsi="Helvetica"/>
          <w:sz w:val="22"/>
          <w:szCs w:val="22"/>
          <w:lang w:val="en-US"/>
        </w:rPr>
        <w:t>the Do No Harm approach</w:t>
      </w:r>
      <w:r w:rsidRPr="009B5A0E">
        <w:rPr>
          <w:rFonts w:ascii="Helvetica" w:eastAsiaTheme="minorHAnsi" w:hAnsi="Helvetica"/>
          <w:sz w:val="22"/>
          <w:szCs w:val="22"/>
          <w:lang w:val="en-US"/>
        </w:rPr>
        <w:t>, r</w:t>
      </w:r>
      <w:r w:rsidR="00723925" w:rsidRPr="009B5A0E">
        <w:rPr>
          <w:rFonts w:ascii="Helvetica" w:eastAsiaTheme="minorHAnsi" w:hAnsi="Helvetica"/>
          <w:sz w:val="22"/>
          <w:szCs w:val="22"/>
          <w:lang w:val="en-US"/>
        </w:rPr>
        <w:t xml:space="preserve">ecognizing the volatile local and national contexts with potential for political, social and communal tension and violence, the project team </w:t>
      </w:r>
      <w:r w:rsidR="007C348B">
        <w:rPr>
          <w:rFonts w:ascii="Helvetica" w:eastAsiaTheme="minorHAnsi" w:hAnsi="Helvetica"/>
          <w:sz w:val="22"/>
          <w:szCs w:val="22"/>
          <w:lang w:val="en-US"/>
        </w:rPr>
        <w:t>has</w:t>
      </w:r>
      <w:r w:rsidR="00723925" w:rsidRPr="009B5A0E">
        <w:rPr>
          <w:rFonts w:ascii="Helvetica" w:eastAsiaTheme="minorHAnsi" w:hAnsi="Helvetica"/>
          <w:sz w:val="22"/>
          <w:szCs w:val="22"/>
          <w:lang w:val="en-US"/>
        </w:rPr>
        <w:t xml:space="preserve"> organize</w:t>
      </w:r>
      <w:r w:rsidR="007C348B">
        <w:rPr>
          <w:rFonts w:ascii="Helvetica" w:eastAsiaTheme="minorHAnsi" w:hAnsi="Helvetica"/>
          <w:sz w:val="22"/>
          <w:szCs w:val="22"/>
          <w:lang w:val="en-US"/>
        </w:rPr>
        <w:t>d</w:t>
      </w:r>
      <w:r w:rsidR="00723925" w:rsidRPr="009B5A0E">
        <w:rPr>
          <w:rFonts w:ascii="Helvetica" w:eastAsiaTheme="minorHAnsi" w:hAnsi="Helvetica"/>
          <w:sz w:val="22"/>
          <w:szCs w:val="22"/>
          <w:lang w:val="en-US"/>
        </w:rPr>
        <w:t xml:space="preserve"> an internal </w:t>
      </w:r>
      <w:r w:rsidR="007C348B">
        <w:rPr>
          <w:rFonts w:ascii="Helvetica" w:eastAsiaTheme="minorHAnsi" w:hAnsi="Helvetica"/>
          <w:sz w:val="22"/>
          <w:szCs w:val="22"/>
          <w:lang w:val="en-US"/>
        </w:rPr>
        <w:t>project conversation</w:t>
      </w:r>
      <w:r w:rsidR="00723925" w:rsidRPr="009B5A0E">
        <w:rPr>
          <w:rFonts w:ascii="Helvetica" w:eastAsiaTheme="minorHAnsi" w:hAnsi="Helvetica"/>
          <w:sz w:val="22"/>
          <w:szCs w:val="22"/>
          <w:lang w:val="en-US"/>
        </w:rPr>
        <w:t xml:space="preserve"> aimed </w:t>
      </w:r>
      <w:r w:rsidR="00B43E45" w:rsidRPr="009B5A0E">
        <w:rPr>
          <w:rFonts w:ascii="Helvetica" w:eastAsiaTheme="minorHAnsi" w:hAnsi="Helvetica"/>
          <w:sz w:val="22"/>
          <w:szCs w:val="22"/>
          <w:lang w:val="en-US"/>
        </w:rPr>
        <w:t>at explicit</w:t>
      </w:r>
      <w:r w:rsidR="00723925" w:rsidRPr="009B5A0E">
        <w:rPr>
          <w:rFonts w:ascii="Helvetica" w:eastAsiaTheme="minorHAnsi" w:hAnsi="Helvetica"/>
          <w:sz w:val="22"/>
          <w:szCs w:val="22"/>
          <w:lang w:val="en-US"/>
        </w:rPr>
        <w:t xml:space="preserve"> discussion and review of </w:t>
      </w:r>
      <w:r w:rsidR="00B43E45" w:rsidRPr="009B5A0E">
        <w:rPr>
          <w:rFonts w:ascii="Helvetica" w:eastAsiaTheme="minorHAnsi" w:hAnsi="Helvetica"/>
          <w:sz w:val="22"/>
          <w:szCs w:val="22"/>
          <w:lang w:val="en-US"/>
        </w:rPr>
        <w:t xml:space="preserve">the “Do No Harm” framework and its applicability to the Exit Phase activities. In particular VAP </w:t>
      </w:r>
      <w:r w:rsidR="00F6600B">
        <w:rPr>
          <w:rFonts w:ascii="Helvetica" w:eastAsiaTheme="minorHAnsi" w:hAnsi="Helvetica"/>
          <w:sz w:val="22"/>
          <w:szCs w:val="22"/>
          <w:lang w:val="en-US"/>
        </w:rPr>
        <w:t xml:space="preserve">has </w:t>
      </w:r>
      <w:r w:rsidR="00B43E45" w:rsidRPr="009B5A0E">
        <w:rPr>
          <w:rFonts w:ascii="Helvetica" w:eastAsiaTheme="minorHAnsi" w:hAnsi="Helvetica"/>
          <w:sz w:val="22"/>
          <w:szCs w:val="22"/>
          <w:lang w:val="en-US"/>
        </w:rPr>
        <w:t>map</w:t>
      </w:r>
      <w:r w:rsidR="00F6600B">
        <w:rPr>
          <w:rFonts w:ascii="Helvetica" w:eastAsiaTheme="minorHAnsi" w:hAnsi="Helvetica"/>
          <w:sz w:val="22"/>
          <w:szCs w:val="22"/>
          <w:lang w:val="en-US"/>
        </w:rPr>
        <w:t>ped the</w:t>
      </w:r>
      <w:r w:rsidR="00B43E45" w:rsidRPr="009B5A0E">
        <w:rPr>
          <w:rFonts w:ascii="Helvetica" w:eastAsiaTheme="minorHAnsi" w:hAnsi="Helvetica"/>
          <w:sz w:val="22"/>
          <w:szCs w:val="22"/>
          <w:lang w:val="en-US"/>
        </w:rPr>
        <w:t xml:space="preserve"> stakeholders and the envisioned context</w:t>
      </w:r>
      <w:r w:rsidR="00723925" w:rsidRPr="009B5A0E">
        <w:rPr>
          <w:rFonts w:ascii="Helvetica" w:eastAsiaTheme="minorHAnsi" w:hAnsi="Helvetica"/>
          <w:sz w:val="22"/>
          <w:szCs w:val="22"/>
          <w:lang w:val="en-US"/>
        </w:rPr>
        <w:t xml:space="preserve"> </w:t>
      </w:r>
      <w:r w:rsidR="00B43E45" w:rsidRPr="009B5A0E">
        <w:rPr>
          <w:rFonts w:ascii="Helvetica" w:eastAsiaTheme="minorHAnsi" w:hAnsi="Helvetica"/>
          <w:sz w:val="22"/>
          <w:szCs w:val="22"/>
          <w:lang w:val="en-US"/>
        </w:rPr>
        <w:t xml:space="preserve">for the years from </w:t>
      </w:r>
      <w:proofErr w:type="spellStart"/>
      <w:r w:rsidR="00B43E45" w:rsidRPr="009B5A0E">
        <w:rPr>
          <w:rFonts w:ascii="Helvetica" w:eastAsiaTheme="minorHAnsi" w:hAnsi="Helvetica"/>
          <w:sz w:val="22"/>
          <w:szCs w:val="22"/>
          <w:lang w:val="en-US"/>
        </w:rPr>
        <w:t>mid 2020</w:t>
      </w:r>
      <w:proofErr w:type="spellEnd"/>
      <w:r w:rsidR="00B43E45" w:rsidRPr="009B5A0E">
        <w:rPr>
          <w:rFonts w:ascii="Helvetica" w:eastAsiaTheme="minorHAnsi" w:hAnsi="Helvetica"/>
          <w:sz w:val="22"/>
          <w:szCs w:val="22"/>
          <w:lang w:val="en-US"/>
        </w:rPr>
        <w:t xml:space="preserve"> to early 2022, with clear identification of the core issues that hold the “divider” – tension-building; and “connector” – peace-promoting potential. VAP </w:t>
      </w:r>
      <w:r w:rsidR="00F6600B">
        <w:rPr>
          <w:rFonts w:ascii="Helvetica" w:eastAsiaTheme="minorHAnsi" w:hAnsi="Helvetica"/>
          <w:sz w:val="22"/>
          <w:szCs w:val="22"/>
          <w:lang w:val="en-US"/>
        </w:rPr>
        <w:t xml:space="preserve">also </w:t>
      </w:r>
      <w:r w:rsidR="00F77CD8" w:rsidRPr="009B5A0E">
        <w:rPr>
          <w:rFonts w:ascii="Helvetica" w:eastAsiaTheme="minorHAnsi" w:hAnsi="Helvetica"/>
          <w:sz w:val="22"/>
          <w:szCs w:val="22"/>
          <w:lang w:val="en-US"/>
        </w:rPr>
        <w:t>outline</w:t>
      </w:r>
      <w:r w:rsidR="00F77CD8">
        <w:rPr>
          <w:rFonts w:ascii="Helvetica" w:eastAsiaTheme="minorHAnsi" w:hAnsi="Helvetica"/>
          <w:sz w:val="22"/>
          <w:szCs w:val="22"/>
          <w:lang w:val="en-US"/>
        </w:rPr>
        <w:t>d</w:t>
      </w:r>
      <w:r w:rsidR="00B43E45" w:rsidRPr="009B5A0E">
        <w:rPr>
          <w:rFonts w:ascii="Helvetica" w:eastAsiaTheme="minorHAnsi" w:hAnsi="Helvetica"/>
          <w:sz w:val="22"/>
          <w:szCs w:val="22"/>
          <w:lang w:val="en-US"/>
        </w:rPr>
        <w:t xml:space="preserve"> the gender-specific dimensions of the project within such </w:t>
      </w:r>
      <w:r w:rsidR="00A552D0" w:rsidRPr="009B5A0E">
        <w:rPr>
          <w:rFonts w:ascii="Helvetica" w:eastAsiaTheme="minorHAnsi" w:hAnsi="Helvetica"/>
          <w:sz w:val="22"/>
          <w:szCs w:val="22"/>
          <w:lang w:val="en-US"/>
        </w:rPr>
        <w:t>contextual mapping.</w:t>
      </w:r>
      <w:r w:rsidR="00B43E45" w:rsidRPr="009B5A0E">
        <w:rPr>
          <w:rFonts w:ascii="Helvetica" w:eastAsiaTheme="minorHAnsi" w:hAnsi="Helvetica"/>
          <w:sz w:val="22"/>
          <w:szCs w:val="22"/>
          <w:lang w:val="en-US"/>
        </w:rPr>
        <w:t xml:space="preserve"> </w:t>
      </w:r>
      <w:r w:rsidR="00307CB9" w:rsidRPr="009B5A0E">
        <w:rPr>
          <w:rFonts w:ascii="Helvetica" w:eastAsiaTheme="minorHAnsi" w:hAnsi="Helvetica"/>
          <w:sz w:val="22"/>
          <w:szCs w:val="22"/>
          <w:lang w:val="en-US"/>
        </w:rPr>
        <w:t>VAP examine</w:t>
      </w:r>
      <w:r w:rsidR="00307CB9">
        <w:rPr>
          <w:rFonts w:ascii="Helvetica" w:eastAsiaTheme="minorHAnsi" w:hAnsi="Helvetica"/>
          <w:sz w:val="22"/>
          <w:szCs w:val="22"/>
          <w:lang w:val="en-US"/>
        </w:rPr>
        <w:t>d</w:t>
      </w:r>
      <w:r w:rsidR="00307CB9" w:rsidRPr="009B5A0E">
        <w:rPr>
          <w:rFonts w:ascii="Helvetica" w:eastAsiaTheme="minorHAnsi" w:hAnsi="Helvetica"/>
          <w:sz w:val="22"/>
          <w:szCs w:val="22"/>
          <w:lang w:val="en-US"/>
        </w:rPr>
        <w:t xml:space="preserve"> the role</w:t>
      </w:r>
      <w:r w:rsidR="00307CB9">
        <w:rPr>
          <w:rFonts w:ascii="Helvetica" w:eastAsiaTheme="minorHAnsi" w:hAnsi="Helvetica"/>
          <w:sz w:val="22"/>
          <w:szCs w:val="22"/>
          <w:lang w:val="en-US"/>
        </w:rPr>
        <w:t xml:space="preserve"> and relationships</w:t>
      </w:r>
      <w:r w:rsidR="00307CB9" w:rsidRPr="009B5A0E">
        <w:rPr>
          <w:rFonts w:ascii="Helvetica" w:eastAsiaTheme="minorHAnsi" w:hAnsi="Helvetica"/>
          <w:sz w:val="22"/>
          <w:szCs w:val="22"/>
          <w:lang w:val="en-US"/>
        </w:rPr>
        <w:t xml:space="preserve"> of ULSG </w:t>
      </w:r>
      <w:r w:rsidR="00307CB9">
        <w:rPr>
          <w:rFonts w:ascii="Helvetica" w:eastAsiaTheme="minorHAnsi" w:hAnsi="Helvetica"/>
          <w:sz w:val="22"/>
          <w:szCs w:val="22"/>
          <w:lang w:val="en-US"/>
        </w:rPr>
        <w:t>and other</w:t>
      </w:r>
      <w:r w:rsidR="00307CB9" w:rsidRPr="009B5A0E">
        <w:rPr>
          <w:rFonts w:ascii="Helvetica" w:eastAsiaTheme="minorHAnsi" w:hAnsi="Helvetica"/>
          <w:sz w:val="22"/>
          <w:szCs w:val="22"/>
          <w:lang w:val="en-US"/>
        </w:rPr>
        <w:t xml:space="preserve"> institutional actors; the needs of LSGs with latent conflicts and fragile local environments; as well as the resource transfers facilitated by and with assistance from the project. </w:t>
      </w:r>
    </w:p>
    <w:p w14:paraId="0993B8AC" w14:textId="77777777" w:rsidR="00F77CD8" w:rsidRDefault="00F77CD8" w:rsidP="002D4789">
      <w:pPr>
        <w:jc w:val="both"/>
        <w:rPr>
          <w:rFonts w:ascii="Helvetica" w:eastAsiaTheme="minorHAnsi" w:hAnsi="Helvetica"/>
          <w:sz w:val="22"/>
          <w:szCs w:val="22"/>
          <w:lang w:val="en-US"/>
        </w:rPr>
      </w:pPr>
    </w:p>
    <w:p w14:paraId="032043CD" w14:textId="77777777" w:rsidR="00307CB9" w:rsidRDefault="00307CB9" w:rsidP="00307CB9">
      <w:pPr>
        <w:jc w:val="both"/>
        <w:rPr>
          <w:rFonts w:ascii="Helvetica" w:eastAsiaTheme="minorHAnsi" w:hAnsi="Helvetica"/>
          <w:sz w:val="22"/>
          <w:szCs w:val="22"/>
          <w:lang w:val="en-US"/>
        </w:rPr>
      </w:pPr>
      <w:r>
        <w:rPr>
          <w:rFonts w:ascii="Helvetica" w:eastAsiaTheme="minorHAnsi" w:hAnsi="Helvetica"/>
          <w:sz w:val="22"/>
          <w:szCs w:val="22"/>
          <w:lang w:val="en-US"/>
        </w:rPr>
        <w:t>The main objective conflict zone that needs to be considered is the competition for budget resources that takes place at the local level during allocation. Apart from the divisive potential, if no constructive culture of deliberation has evolved, there is an underlying gender dimension as well. For example, in VAP’s experience the consistently winning priorities are water and sanitation, waste management, transportation, often framed in business-oriented terms and with lesser attention to childcare, local social services supporting women and youth.</w:t>
      </w:r>
    </w:p>
    <w:p w14:paraId="07D5D47C" w14:textId="77777777" w:rsidR="00307CB9" w:rsidRDefault="00307CB9" w:rsidP="002D4789">
      <w:pPr>
        <w:jc w:val="both"/>
        <w:rPr>
          <w:rFonts w:ascii="Helvetica" w:eastAsiaTheme="minorHAnsi" w:hAnsi="Helvetica"/>
          <w:sz w:val="22"/>
          <w:szCs w:val="22"/>
          <w:lang w:val="en-US"/>
        </w:rPr>
      </w:pPr>
    </w:p>
    <w:p w14:paraId="314557B1" w14:textId="3C8C61BC" w:rsidR="00307CB9" w:rsidRPr="00307CB9" w:rsidRDefault="00F77CD8" w:rsidP="00307CB9">
      <w:pPr>
        <w:jc w:val="both"/>
        <w:rPr>
          <w:rFonts w:ascii="Helvetica" w:eastAsiaTheme="minorHAnsi" w:hAnsi="Helvetica"/>
          <w:sz w:val="22"/>
          <w:szCs w:val="22"/>
          <w:lang w:val="en-US"/>
        </w:rPr>
      </w:pPr>
      <w:r>
        <w:rPr>
          <w:rFonts w:ascii="Helvetica" w:eastAsiaTheme="minorHAnsi" w:hAnsi="Helvetica"/>
          <w:sz w:val="22"/>
          <w:szCs w:val="22"/>
          <w:lang w:val="en-US"/>
        </w:rPr>
        <w:t xml:space="preserve">As presented in Figure </w:t>
      </w:r>
      <w:r w:rsidR="00964BC5">
        <w:rPr>
          <w:rFonts w:ascii="Helvetica" w:eastAsiaTheme="minorHAnsi" w:hAnsi="Helvetica"/>
          <w:sz w:val="22"/>
          <w:szCs w:val="22"/>
          <w:lang w:val="en-US"/>
        </w:rPr>
        <w:t>7</w:t>
      </w:r>
      <w:r>
        <w:rPr>
          <w:rFonts w:ascii="Helvetica" w:eastAsiaTheme="minorHAnsi" w:hAnsi="Helvetica"/>
          <w:sz w:val="22"/>
          <w:szCs w:val="22"/>
          <w:lang w:val="en-US"/>
        </w:rPr>
        <w:t xml:space="preserve"> below, the divider issues include the recently introduced gender quote, seen as a point of tension; related </w:t>
      </w:r>
      <w:r w:rsidR="00790B57">
        <w:rPr>
          <w:rFonts w:ascii="Helvetica" w:eastAsiaTheme="minorHAnsi" w:hAnsi="Helvetica"/>
          <w:sz w:val="22"/>
          <w:szCs w:val="22"/>
          <w:lang w:val="en-US"/>
        </w:rPr>
        <w:t>patriarchal patterns and traditions</w:t>
      </w:r>
      <w:r>
        <w:rPr>
          <w:rFonts w:ascii="Helvetica" w:eastAsiaTheme="minorHAnsi" w:hAnsi="Helvetica"/>
          <w:sz w:val="22"/>
          <w:szCs w:val="22"/>
          <w:lang w:val="en-US"/>
        </w:rPr>
        <w:t xml:space="preserve"> of male and </w:t>
      </w:r>
      <w:proofErr w:type="spellStart"/>
      <w:r w:rsidR="00790B57">
        <w:rPr>
          <w:rFonts w:ascii="Helvetica" w:eastAsiaTheme="minorHAnsi" w:hAnsi="Helvetica"/>
          <w:i/>
          <w:iCs/>
          <w:sz w:val="22"/>
          <w:szCs w:val="22"/>
          <w:lang w:val="en-US"/>
        </w:rPr>
        <w:t>aksakal</w:t>
      </w:r>
      <w:proofErr w:type="spellEnd"/>
      <w:r w:rsidR="00790B57">
        <w:rPr>
          <w:rFonts w:ascii="Helvetica" w:eastAsiaTheme="minorHAnsi" w:hAnsi="Helvetica"/>
          <w:i/>
          <w:iCs/>
          <w:sz w:val="22"/>
          <w:szCs w:val="22"/>
          <w:lang w:val="en-US"/>
        </w:rPr>
        <w:t xml:space="preserve"> </w:t>
      </w:r>
      <w:r w:rsidR="00790B57">
        <w:rPr>
          <w:rFonts w:ascii="Helvetica" w:eastAsiaTheme="minorHAnsi" w:hAnsi="Helvetica"/>
          <w:sz w:val="22"/>
          <w:szCs w:val="22"/>
          <w:lang w:val="en-US"/>
        </w:rPr>
        <w:t xml:space="preserve">(male elderly leaders) dominance; </w:t>
      </w:r>
      <w:r>
        <w:rPr>
          <w:rFonts w:ascii="Helvetica" w:eastAsiaTheme="minorHAnsi" w:hAnsi="Helvetica"/>
          <w:sz w:val="22"/>
          <w:szCs w:val="22"/>
          <w:lang w:val="en-US"/>
        </w:rPr>
        <w:t>the</w:t>
      </w:r>
      <w:r w:rsidR="00790B57">
        <w:rPr>
          <w:rFonts w:ascii="Helvetica" w:eastAsiaTheme="minorHAnsi" w:hAnsi="Helvetica"/>
          <w:sz w:val="22"/>
          <w:szCs w:val="22"/>
          <w:lang w:val="en-US"/>
        </w:rPr>
        <w:t xml:space="preserve"> role of local informal religious leaders. Budget deficits within the COVID-19 conditions are likely to be become another source of tension, as are the potential challenges of institutional collaboration between the ULSG and SALSGIR, as observed in the past. </w:t>
      </w:r>
    </w:p>
    <w:p w14:paraId="4C41E613" w14:textId="77777777" w:rsidR="00790B57" w:rsidRDefault="00790B57" w:rsidP="002D4789">
      <w:pPr>
        <w:jc w:val="both"/>
        <w:rPr>
          <w:rFonts w:ascii="Helvetica" w:eastAsiaTheme="minorHAnsi" w:hAnsi="Helvetica"/>
          <w:sz w:val="22"/>
          <w:szCs w:val="22"/>
          <w:lang w:val="en-US"/>
        </w:rPr>
      </w:pPr>
    </w:p>
    <w:p w14:paraId="15C7D1B1" w14:textId="3E33BC97" w:rsidR="00B117C4" w:rsidRPr="009B5A0E" w:rsidRDefault="00790B57" w:rsidP="00417A02">
      <w:pPr>
        <w:jc w:val="both"/>
      </w:pPr>
      <w:r>
        <w:rPr>
          <w:rFonts w:ascii="Helvetica" w:eastAsiaTheme="minorHAnsi" w:hAnsi="Helvetica"/>
          <w:sz w:val="22"/>
          <w:szCs w:val="22"/>
          <w:lang w:val="en-US"/>
        </w:rPr>
        <w:t xml:space="preserve">Connector issues and opportunities are related to the increasingly more prominent, stable and successful gender-responsive engagement models, coming from the civil society groups, women’s social and political leadership movements, religious leaders and their practical communicative approaches based on both </w:t>
      </w:r>
      <w:r>
        <w:rPr>
          <w:rFonts w:ascii="Helvetica" w:eastAsiaTheme="minorHAnsi" w:hAnsi="Helvetica"/>
          <w:sz w:val="22"/>
          <w:szCs w:val="22"/>
        </w:rPr>
        <w:t>secular and religious sources. System and institutional level connectors lie within the local governance institutions and surrounding core policy frameworks, as well as the constructive deputy-level leadership within ULSG and SALSGIR.</w:t>
      </w:r>
      <w:r>
        <w:rPr>
          <w:rFonts w:ascii="Helvetica" w:eastAsiaTheme="minorHAnsi" w:hAnsi="Helvetica"/>
          <w:sz w:val="22"/>
          <w:szCs w:val="22"/>
          <w:lang w:val="en-US"/>
        </w:rPr>
        <w:t xml:space="preserve"> </w:t>
      </w:r>
      <w:r w:rsidR="00F77CD8">
        <w:rPr>
          <w:rFonts w:ascii="Helvetica" w:eastAsiaTheme="minorHAnsi" w:hAnsi="Helvetica"/>
          <w:sz w:val="22"/>
          <w:szCs w:val="22"/>
          <w:lang w:val="en-US"/>
        </w:rPr>
        <w:t xml:space="preserve"> </w:t>
      </w:r>
    </w:p>
    <w:sectPr w:rsidR="00B117C4" w:rsidRPr="009B5A0E" w:rsidSect="00417A02">
      <w:pgSz w:w="11906" w:h="16838"/>
      <w:pgMar w:top="1440" w:right="1440" w:bottom="1134" w:left="1440" w:header="708" w:footer="5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AE8D" w14:textId="77777777" w:rsidR="007C2186" w:rsidRDefault="007C2186" w:rsidP="00D9172A">
      <w:r>
        <w:separator/>
      </w:r>
    </w:p>
  </w:endnote>
  <w:endnote w:type="continuationSeparator" w:id="0">
    <w:p w14:paraId="571B915C" w14:textId="77777777" w:rsidR="007C2186" w:rsidRDefault="007C2186" w:rsidP="00D9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12527" w14:textId="77777777" w:rsidR="007C2186" w:rsidRDefault="007C2186" w:rsidP="00D9172A">
      <w:r>
        <w:separator/>
      </w:r>
    </w:p>
  </w:footnote>
  <w:footnote w:type="continuationSeparator" w:id="0">
    <w:p w14:paraId="76AE5D28" w14:textId="77777777" w:rsidR="007C2186" w:rsidRDefault="007C2186" w:rsidP="00D9172A">
      <w:r>
        <w:continuationSeparator/>
      </w:r>
    </w:p>
  </w:footnote>
  <w:footnote w:id="1">
    <w:p w14:paraId="68CF3871" w14:textId="764721A3" w:rsidR="00984229" w:rsidRPr="00E624EB" w:rsidRDefault="00984229">
      <w:pPr>
        <w:pStyle w:val="ad"/>
        <w:rPr>
          <w:rFonts w:ascii="Arial Narrow" w:hAnsi="Arial Narrow"/>
          <w:sz w:val="18"/>
          <w:szCs w:val="18"/>
        </w:rPr>
      </w:pPr>
      <w:r w:rsidRPr="00E624EB">
        <w:rPr>
          <w:rStyle w:val="af"/>
          <w:rFonts w:ascii="Arial Narrow" w:hAnsi="Arial Narrow"/>
          <w:sz w:val="18"/>
          <w:szCs w:val="18"/>
        </w:rPr>
        <w:footnoteRef/>
      </w:r>
      <w:r w:rsidRPr="00E624EB">
        <w:rPr>
          <w:rFonts w:ascii="Arial Narrow" w:hAnsi="Arial Narrow"/>
          <w:sz w:val="18"/>
          <w:szCs w:val="18"/>
        </w:rPr>
        <w:t xml:space="preserve"> http://cbd.minjust.gov.kg/act/view/ru-ru/111354</w:t>
      </w:r>
    </w:p>
  </w:footnote>
  <w:footnote w:id="2">
    <w:p w14:paraId="34589570" w14:textId="33138801" w:rsidR="00984229" w:rsidRPr="00E624EB" w:rsidRDefault="00984229">
      <w:pPr>
        <w:pStyle w:val="ad"/>
        <w:rPr>
          <w:rFonts w:ascii="Arial Narrow" w:hAnsi="Arial Narrow"/>
          <w:sz w:val="18"/>
          <w:szCs w:val="18"/>
        </w:rPr>
      </w:pPr>
      <w:r w:rsidRPr="00E624EB">
        <w:rPr>
          <w:rStyle w:val="af"/>
          <w:rFonts w:ascii="Arial Narrow" w:hAnsi="Arial Narrow"/>
          <w:sz w:val="18"/>
          <w:szCs w:val="18"/>
        </w:rPr>
        <w:footnoteRef/>
      </w:r>
      <w:r w:rsidRPr="00E624EB">
        <w:rPr>
          <w:rFonts w:ascii="Arial Narrow" w:hAnsi="Arial Narrow"/>
          <w:sz w:val="18"/>
          <w:szCs w:val="18"/>
        </w:rPr>
        <w:t xml:space="preserve"> http://cbd.minjust.gov.kg/act/view/ru-ru/99692?cl=ru-ru</w:t>
      </w:r>
    </w:p>
  </w:footnote>
  <w:footnote w:id="3">
    <w:p w14:paraId="04102727" w14:textId="77777777" w:rsidR="00984229" w:rsidRPr="00E624EB" w:rsidRDefault="00984229" w:rsidP="001A5268">
      <w:pPr>
        <w:rPr>
          <w:rFonts w:ascii="Arial Narrow" w:hAnsi="Arial Narrow" w:cstheme="minorHAnsi"/>
          <w:color w:val="000000" w:themeColor="text1"/>
          <w:sz w:val="18"/>
          <w:szCs w:val="18"/>
        </w:rPr>
      </w:pPr>
      <w:r w:rsidRPr="00E624EB">
        <w:rPr>
          <w:rStyle w:val="af"/>
          <w:rFonts w:ascii="Arial Narrow" w:hAnsi="Arial Narrow"/>
          <w:color w:val="000000" w:themeColor="text1"/>
          <w:sz w:val="18"/>
          <w:szCs w:val="18"/>
        </w:rPr>
        <w:footnoteRef/>
      </w:r>
      <w:r w:rsidRPr="00E624EB">
        <w:rPr>
          <w:rFonts w:ascii="Arial Narrow" w:hAnsi="Arial Narrow"/>
          <w:color w:val="000000" w:themeColor="text1"/>
          <w:sz w:val="18"/>
          <w:szCs w:val="18"/>
        </w:rPr>
        <w:t xml:space="preserve"> </w:t>
      </w:r>
      <w:r w:rsidRPr="00E624EB">
        <w:rPr>
          <w:rFonts w:ascii="Arial Narrow" w:hAnsi="Arial Narrow" w:cstheme="minorHAnsi"/>
          <w:color w:val="000000" w:themeColor="text1"/>
          <w:sz w:val="18"/>
          <w:szCs w:val="18"/>
        </w:rPr>
        <w:t xml:space="preserve">The European Charter of Local Self-Government is a treaty adopted in 1985 under the Council of Europe. It sets basic rules and principles of local self-government and is open for non-EU states. </w:t>
      </w:r>
      <w:hyperlink r:id="rId1" w:anchor=":~:text=The%20Charter%20commits%20the%20Parties,where%20practicable%2C%20in%20the%20constitution." w:history="1">
        <w:r w:rsidRPr="00E624EB">
          <w:rPr>
            <w:rStyle w:val="af0"/>
            <w:rFonts w:ascii="Arial Narrow" w:hAnsi="Arial Narrow" w:cstheme="minorHAnsi"/>
            <w:color w:val="000000" w:themeColor="text1"/>
            <w:sz w:val="18"/>
            <w:szCs w:val="18"/>
          </w:rPr>
          <w:t>https://www.coe.int/en/web/conventions/full-list/-/conventions/treaty/122#:~:text=The%20Charter%20commits%20the%20Parties,where%20practicable%2C%20in%20the%20constitution.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48C7"/>
    <w:multiLevelType w:val="hybridMultilevel"/>
    <w:tmpl w:val="6606893E"/>
    <w:lvl w:ilvl="0" w:tplc="04190001">
      <w:start w:val="1"/>
      <w:numFmt w:val="bullet"/>
      <w:lvlText w:val=""/>
      <w:lvlJc w:val="left"/>
      <w:pPr>
        <w:ind w:left="828" w:hanging="360"/>
      </w:pPr>
      <w:rPr>
        <w:rFonts w:ascii="Symbol" w:hAnsi="Symbol" w:hint="default"/>
      </w:rPr>
    </w:lvl>
    <w:lvl w:ilvl="1" w:tplc="04190003">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 w15:restartNumberingAfterBreak="0">
    <w:nsid w:val="13F7151B"/>
    <w:multiLevelType w:val="hybridMultilevel"/>
    <w:tmpl w:val="3ED4AD78"/>
    <w:lvl w:ilvl="0" w:tplc="A426BBEE">
      <w:numFmt w:val="bullet"/>
      <w:lvlText w:val="-"/>
      <w:lvlJc w:val="left"/>
      <w:pPr>
        <w:ind w:left="360" w:hanging="360"/>
      </w:pPr>
      <w:rPr>
        <w:rFonts w:ascii="Arial" w:eastAsia="Arial"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3FD049B"/>
    <w:multiLevelType w:val="hybridMultilevel"/>
    <w:tmpl w:val="B2D4D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7324C3"/>
    <w:multiLevelType w:val="multilevel"/>
    <w:tmpl w:val="0808789E"/>
    <w:lvl w:ilvl="0">
      <w:start w:val="8"/>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231A2B"/>
    <w:multiLevelType w:val="multilevel"/>
    <w:tmpl w:val="4DF65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5F166F"/>
    <w:multiLevelType w:val="hybridMultilevel"/>
    <w:tmpl w:val="9B06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12F99"/>
    <w:multiLevelType w:val="hybridMultilevel"/>
    <w:tmpl w:val="5F3E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10D63"/>
    <w:multiLevelType w:val="hybridMultilevel"/>
    <w:tmpl w:val="84428104"/>
    <w:lvl w:ilvl="0" w:tplc="4344F312">
      <w:start w:val="1"/>
      <w:numFmt w:val="upperLetter"/>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8" w15:restartNumberingAfterBreak="0">
    <w:nsid w:val="2592177F"/>
    <w:multiLevelType w:val="multilevel"/>
    <w:tmpl w:val="42F04D4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25CE001F"/>
    <w:multiLevelType w:val="hybridMultilevel"/>
    <w:tmpl w:val="933C0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9051D1"/>
    <w:multiLevelType w:val="hybridMultilevel"/>
    <w:tmpl w:val="FC864162"/>
    <w:lvl w:ilvl="0" w:tplc="BDC6041A">
      <w:start w:val="1"/>
      <w:numFmt w:val="decimal"/>
      <w:lvlText w:val="%1."/>
      <w:lvlJc w:val="left"/>
      <w:pPr>
        <w:ind w:left="360" w:hanging="360"/>
      </w:pPr>
      <w:rPr>
        <w:lang w:val="en-U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2DEA1963"/>
    <w:multiLevelType w:val="multilevel"/>
    <w:tmpl w:val="32485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0724221"/>
    <w:multiLevelType w:val="multilevel"/>
    <w:tmpl w:val="76F27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7A460B"/>
    <w:multiLevelType w:val="multilevel"/>
    <w:tmpl w:val="DDCEE9F0"/>
    <w:lvl w:ilvl="0">
      <w:start w:val="1"/>
      <w:numFmt w:val="decimal"/>
      <w:pStyle w:val="1"/>
      <w:isLgl/>
      <w:lvlText w:val="%1."/>
      <w:lvlJc w:val="left"/>
      <w:pPr>
        <w:tabs>
          <w:tab w:val="num" w:pos="2847"/>
        </w:tabs>
        <w:ind w:left="2847" w:hanging="720"/>
      </w:pPr>
      <w:rPr>
        <w:rFonts w:hint="default"/>
      </w:rPr>
    </w:lvl>
    <w:lvl w:ilvl="1">
      <w:start w:val="1"/>
      <w:numFmt w:val="decimal"/>
      <w:pStyle w:val="2"/>
      <w:lvlText w:val="%1.%2."/>
      <w:lvlJc w:val="left"/>
      <w:pPr>
        <w:tabs>
          <w:tab w:val="num" w:pos="720"/>
        </w:tabs>
        <w:ind w:left="720" w:hanging="720"/>
      </w:pPr>
      <w:rPr>
        <w:rFonts w:hint="default"/>
        <w:sz w:val="28"/>
        <w:szCs w:val="24"/>
      </w:rPr>
    </w:lvl>
    <w:lvl w:ilvl="2">
      <w:start w:val="1"/>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515"/>
        </w:tabs>
        <w:ind w:left="3515" w:hanging="725"/>
      </w:pPr>
      <w:rPr>
        <w:rFonts w:hint="default"/>
      </w:rPr>
    </w:lvl>
    <w:lvl w:ilvl="5">
      <w:start w:val="1"/>
      <w:numFmt w:val="decimal"/>
      <w:lvlText w:val="%1.%2.%3.%4.%5.%6."/>
      <w:lvlJc w:val="left"/>
      <w:pPr>
        <w:tabs>
          <w:tab w:val="num" w:pos="2143"/>
        </w:tabs>
        <w:ind w:left="2143" w:hanging="357"/>
      </w:pPr>
      <w:rPr>
        <w:rFonts w:hint="default"/>
      </w:rPr>
    </w:lvl>
    <w:lvl w:ilvl="6">
      <w:start w:val="1"/>
      <w:numFmt w:val="decimal"/>
      <w:lvlText w:val="%1.%2.%3.%4.%5.%6.%7."/>
      <w:lvlJc w:val="left"/>
      <w:pPr>
        <w:tabs>
          <w:tab w:val="num" w:pos="2500"/>
        </w:tabs>
        <w:ind w:left="2500" w:hanging="357"/>
      </w:pPr>
      <w:rPr>
        <w:rFonts w:hint="default"/>
      </w:rPr>
    </w:lvl>
    <w:lvl w:ilvl="7">
      <w:start w:val="1"/>
      <w:numFmt w:val="decimal"/>
      <w:lvlText w:val="%1.%2.%3.%4.%5.%6.%7.%8."/>
      <w:lvlJc w:val="left"/>
      <w:pPr>
        <w:tabs>
          <w:tab w:val="num" w:pos="2858"/>
        </w:tabs>
        <w:ind w:left="2858" w:hanging="358"/>
      </w:pPr>
      <w:rPr>
        <w:rFonts w:hint="default"/>
      </w:rPr>
    </w:lvl>
    <w:lvl w:ilvl="8">
      <w:start w:val="1"/>
      <w:numFmt w:val="decimal"/>
      <w:lvlText w:val="%1.%2.%3.%4.%5.%6.%7.%8.%9."/>
      <w:lvlJc w:val="left"/>
      <w:pPr>
        <w:tabs>
          <w:tab w:val="num" w:pos="3215"/>
        </w:tabs>
        <w:ind w:left="3215" w:hanging="357"/>
      </w:pPr>
      <w:rPr>
        <w:rFonts w:hint="default"/>
      </w:rPr>
    </w:lvl>
  </w:abstractNum>
  <w:abstractNum w:abstractNumId="14" w15:restartNumberingAfterBreak="0">
    <w:nsid w:val="3B56169D"/>
    <w:multiLevelType w:val="hybridMultilevel"/>
    <w:tmpl w:val="6DB6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E42F3"/>
    <w:multiLevelType w:val="multilevel"/>
    <w:tmpl w:val="441099FC"/>
    <w:lvl w:ilvl="0">
      <w:start w:val="1"/>
      <w:numFmt w:val="bullet"/>
      <w:pStyle w:val="BulletPoints"/>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3FD62661"/>
    <w:multiLevelType w:val="hybridMultilevel"/>
    <w:tmpl w:val="11B0CA36"/>
    <w:lvl w:ilvl="0" w:tplc="04090001">
      <w:start w:val="1"/>
      <w:numFmt w:val="bullet"/>
      <w:lvlText w:val=""/>
      <w:lvlJc w:val="left"/>
      <w:pPr>
        <w:ind w:left="360" w:hanging="360"/>
      </w:pPr>
      <w:rPr>
        <w:rFonts w:ascii="Symbol" w:hAnsi="Symbol" w:hint="default"/>
      </w:rPr>
    </w:lvl>
    <w:lvl w:ilvl="1" w:tplc="32E6FA08">
      <w:numFmt w:val="bullet"/>
      <w:lvlText w:val="·"/>
      <w:lvlJc w:val="left"/>
      <w:pPr>
        <w:ind w:left="1200" w:hanging="480"/>
      </w:pPr>
      <w:rPr>
        <w:rFonts w:ascii="Helvetica" w:eastAsia="Times New Roman" w:hAnsi="Helvetica"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C45AD4"/>
    <w:multiLevelType w:val="hybridMultilevel"/>
    <w:tmpl w:val="8C80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2361C"/>
    <w:multiLevelType w:val="hybridMultilevel"/>
    <w:tmpl w:val="12B652CE"/>
    <w:lvl w:ilvl="0" w:tplc="04190001">
      <w:start w:val="1"/>
      <w:numFmt w:val="bullet"/>
      <w:lvlText w:val=""/>
      <w:lvlJc w:val="left"/>
      <w:pPr>
        <w:ind w:left="1188" w:hanging="360"/>
      </w:pPr>
      <w:rPr>
        <w:rFonts w:ascii="Symbol" w:hAnsi="Symbol" w:hint="default"/>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19" w15:restartNumberingAfterBreak="0">
    <w:nsid w:val="4B716F5E"/>
    <w:multiLevelType w:val="hybridMultilevel"/>
    <w:tmpl w:val="6472FA5A"/>
    <w:lvl w:ilvl="0" w:tplc="04190015">
      <w:start w:val="2"/>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1D7497"/>
    <w:multiLevelType w:val="multilevel"/>
    <w:tmpl w:val="4B9AC39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5B3727A8"/>
    <w:multiLevelType w:val="hybridMultilevel"/>
    <w:tmpl w:val="4A400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0038BD"/>
    <w:multiLevelType w:val="hybridMultilevel"/>
    <w:tmpl w:val="C78E4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CD3CCA"/>
    <w:multiLevelType w:val="multilevel"/>
    <w:tmpl w:val="B2341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0D31ED2"/>
    <w:multiLevelType w:val="multilevel"/>
    <w:tmpl w:val="2AD22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3392FD8"/>
    <w:multiLevelType w:val="multilevel"/>
    <w:tmpl w:val="5880B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E2D4648"/>
    <w:multiLevelType w:val="hybridMultilevel"/>
    <w:tmpl w:val="F2705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5B3F53"/>
    <w:multiLevelType w:val="multilevel"/>
    <w:tmpl w:val="42A63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F801743"/>
    <w:multiLevelType w:val="multilevel"/>
    <w:tmpl w:val="40EC17E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30813368">
    <w:abstractNumId w:val="11"/>
  </w:num>
  <w:num w:numId="2" w16cid:durableId="280110521">
    <w:abstractNumId w:val="21"/>
  </w:num>
  <w:num w:numId="3" w16cid:durableId="577785344">
    <w:abstractNumId w:val="5"/>
  </w:num>
  <w:num w:numId="4" w16cid:durableId="674767398">
    <w:abstractNumId w:val="22"/>
  </w:num>
  <w:num w:numId="5" w16cid:durableId="1430931888">
    <w:abstractNumId w:val="17"/>
  </w:num>
  <w:num w:numId="6" w16cid:durableId="1369454021">
    <w:abstractNumId w:val="6"/>
  </w:num>
  <w:num w:numId="7" w16cid:durableId="1020817831">
    <w:abstractNumId w:val="13"/>
  </w:num>
  <w:num w:numId="8" w16cid:durableId="10721944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9265076">
    <w:abstractNumId w:val="16"/>
  </w:num>
  <w:num w:numId="10" w16cid:durableId="918443750">
    <w:abstractNumId w:val="26"/>
  </w:num>
  <w:num w:numId="11" w16cid:durableId="144276477">
    <w:abstractNumId w:val="28"/>
  </w:num>
  <w:num w:numId="12" w16cid:durableId="1663895005">
    <w:abstractNumId w:val="27"/>
  </w:num>
  <w:num w:numId="13" w16cid:durableId="431439657">
    <w:abstractNumId w:val="8"/>
  </w:num>
  <w:num w:numId="14" w16cid:durableId="274753330">
    <w:abstractNumId w:val="12"/>
  </w:num>
  <w:num w:numId="15" w16cid:durableId="1059942864">
    <w:abstractNumId w:val="24"/>
  </w:num>
  <w:num w:numId="16" w16cid:durableId="1196575424">
    <w:abstractNumId w:val="23"/>
  </w:num>
  <w:num w:numId="17" w16cid:durableId="95516529">
    <w:abstractNumId w:val="20"/>
  </w:num>
  <w:num w:numId="18" w16cid:durableId="384918128">
    <w:abstractNumId w:val="4"/>
  </w:num>
  <w:num w:numId="19" w16cid:durableId="668219436">
    <w:abstractNumId w:val="25"/>
  </w:num>
  <w:num w:numId="20" w16cid:durableId="1585989624">
    <w:abstractNumId w:val="1"/>
  </w:num>
  <w:num w:numId="21" w16cid:durableId="1886747737">
    <w:abstractNumId w:val="9"/>
  </w:num>
  <w:num w:numId="22" w16cid:durableId="1228028033">
    <w:abstractNumId w:val="0"/>
  </w:num>
  <w:num w:numId="23" w16cid:durableId="1218784625">
    <w:abstractNumId w:val="15"/>
  </w:num>
  <w:num w:numId="24" w16cid:durableId="1398014885">
    <w:abstractNumId w:val="18"/>
  </w:num>
  <w:num w:numId="25" w16cid:durableId="1946499750">
    <w:abstractNumId w:val="19"/>
  </w:num>
  <w:num w:numId="26" w16cid:durableId="1411584818">
    <w:abstractNumId w:val="7"/>
  </w:num>
  <w:num w:numId="27" w16cid:durableId="1963998710">
    <w:abstractNumId w:val="14"/>
  </w:num>
  <w:num w:numId="28" w16cid:durableId="1621646521">
    <w:abstractNumId w:val="2"/>
  </w:num>
  <w:num w:numId="29" w16cid:durableId="107296994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296"/>
    <w:rsid w:val="00002731"/>
    <w:rsid w:val="000042FC"/>
    <w:rsid w:val="00005356"/>
    <w:rsid w:val="00005C3D"/>
    <w:rsid w:val="00006BF3"/>
    <w:rsid w:val="000073D7"/>
    <w:rsid w:val="00015F5A"/>
    <w:rsid w:val="00026B06"/>
    <w:rsid w:val="00027F4B"/>
    <w:rsid w:val="00036BC9"/>
    <w:rsid w:val="00037A88"/>
    <w:rsid w:val="000449F3"/>
    <w:rsid w:val="00047472"/>
    <w:rsid w:val="000506F4"/>
    <w:rsid w:val="000556A4"/>
    <w:rsid w:val="00055F89"/>
    <w:rsid w:val="00060D2B"/>
    <w:rsid w:val="0006716B"/>
    <w:rsid w:val="00067B59"/>
    <w:rsid w:val="00073667"/>
    <w:rsid w:val="0007676C"/>
    <w:rsid w:val="000867CB"/>
    <w:rsid w:val="000913EA"/>
    <w:rsid w:val="000918D3"/>
    <w:rsid w:val="0009270D"/>
    <w:rsid w:val="0009299F"/>
    <w:rsid w:val="00095CE2"/>
    <w:rsid w:val="000B2198"/>
    <w:rsid w:val="000B2669"/>
    <w:rsid w:val="000C2D32"/>
    <w:rsid w:val="000C4623"/>
    <w:rsid w:val="000C5B09"/>
    <w:rsid w:val="000C6803"/>
    <w:rsid w:val="000C723C"/>
    <w:rsid w:val="000D1035"/>
    <w:rsid w:val="000E0952"/>
    <w:rsid w:val="000E53EA"/>
    <w:rsid w:val="000E5B28"/>
    <w:rsid w:val="000E7596"/>
    <w:rsid w:val="0010047F"/>
    <w:rsid w:val="00103507"/>
    <w:rsid w:val="00106FE3"/>
    <w:rsid w:val="00107002"/>
    <w:rsid w:val="00110296"/>
    <w:rsid w:val="0011295B"/>
    <w:rsid w:val="001259CD"/>
    <w:rsid w:val="00125AA0"/>
    <w:rsid w:val="00131D34"/>
    <w:rsid w:val="00132DBE"/>
    <w:rsid w:val="00133EF7"/>
    <w:rsid w:val="00140004"/>
    <w:rsid w:val="00140A7F"/>
    <w:rsid w:val="00141038"/>
    <w:rsid w:val="001521D0"/>
    <w:rsid w:val="001527F7"/>
    <w:rsid w:val="00154C91"/>
    <w:rsid w:val="0015502A"/>
    <w:rsid w:val="00164B05"/>
    <w:rsid w:val="00166EC3"/>
    <w:rsid w:val="00190BB2"/>
    <w:rsid w:val="001A2FF7"/>
    <w:rsid w:val="001A39BD"/>
    <w:rsid w:val="001A4437"/>
    <w:rsid w:val="001A4506"/>
    <w:rsid w:val="001A4B22"/>
    <w:rsid w:val="001A5268"/>
    <w:rsid w:val="001A579C"/>
    <w:rsid w:val="001B1453"/>
    <w:rsid w:val="001B3AF2"/>
    <w:rsid w:val="001B7A7D"/>
    <w:rsid w:val="001C062E"/>
    <w:rsid w:val="001C063D"/>
    <w:rsid w:val="001C2A58"/>
    <w:rsid w:val="001D3175"/>
    <w:rsid w:val="001D33D1"/>
    <w:rsid w:val="001E0741"/>
    <w:rsid w:val="001E277E"/>
    <w:rsid w:val="001F628A"/>
    <w:rsid w:val="00200EAF"/>
    <w:rsid w:val="0020144A"/>
    <w:rsid w:val="00203C50"/>
    <w:rsid w:val="00223FB0"/>
    <w:rsid w:val="00225129"/>
    <w:rsid w:val="00226BDC"/>
    <w:rsid w:val="00231302"/>
    <w:rsid w:val="00234060"/>
    <w:rsid w:val="00234E33"/>
    <w:rsid w:val="0023587F"/>
    <w:rsid w:val="00244963"/>
    <w:rsid w:val="00245AFA"/>
    <w:rsid w:val="00246176"/>
    <w:rsid w:val="002547DD"/>
    <w:rsid w:val="00254E82"/>
    <w:rsid w:val="00256D7B"/>
    <w:rsid w:val="00267DB6"/>
    <w:rsid w:val="0027113B"/>
    <w:rsid w:val="002750CC"/>
    <w:rsid w:val="002822E7"/>
    <w:rsid w:val="00287434"/>
    <w:rsid w:val="00292863"/>
    <w:rsid w:val="002A3B85"/>
    <w:rsid w:val="002A64F2"/>
    <w:rsid w:val="002A7FB5"/>
    <w:rsid w:val="002B20CB"/>
    <w:rsid w:val="002B412C"/>
    <w:rsid w:val="002C0C00"/>
    <w:rsid w:val="002C2A2E"/>
    <w:rsid w:val="002D2D80"/>
    <w:rsid w:val="002D2F3A"/>
    <w:rsid w:val="002D4789"/>
    <w:rsid w:val="002D5031"/>
    <w:rsid w:val="002D6FEF"/>
    <w:rsid w:val="002E04EC"/>
    <w:rsid w:val="002F270C"/>
    <w:rsid w:val="002F4615"/>
    <w:rsid w:val="002F52AE"/>
    <w:rsid w:val="002F5726"/>
    <w:rsid w:val="002F691A"/>
    <w:rsid w:val="00306B4A"/>
    <w:rsid w:val="003073E8"/>
    <w:rsid w:val="00307CB9"/>
    <w:rsid w:val="003110AF"/>
    <w:rsid w:val="00311ED8"/>
    <w:rsid w:val="0031566A"/>
    <w:rsid w:val="003207F5"/>
    <w:rsid w:val="0032215C"/>
    <w:rsid w:val="003267A8"/>
    <w:rsid w:val="00331A9A"/>
    <w:rsid w:val="003336D4"/>
    <w:rsid w:val="00336CCA"/>
    <w:rsid w:val="00337475"/>
    <w:rsid w:val="00340263"/>
    <w:rsid w:val="003429B8"/>
    <w:rsid w:val="00344778"/>
    <w:rsid w:val="00346C37"/>
    <w:rsid w:val="0035518B"/>
    <w:rsid w:val="00355878"/>
    <w:rsid w:val="00364616"/>
    <w:rsid w:val="00370AAF"/>
    <w:rsid w:val="003727A5"/>
    <w:rsid w:val="00375247"/>
    <w:rsid w:val="00381CA8"/>
    <w:rsid w:val="00384617"/>
    <w:rsid w:val="00385DB5"/>
    <w:rsid w:val="003929C3"/>
    <w:rsid w:val="003A16B9"/>
    <w:rsid w:val="003A1EF2"/>
    <w:rsid w:val="003A69B4"/>
    <w:rsid w:val="003A72AD"/>
    <w:rsid w:val="003B29D0"/>
    <w:rsid w:val="003B322B"/>
    <w:rsid w:val="003B6031"/>
    <w:rsid w:val="003B7063"/>
    <w:rsid w:val="003C1B4E"/>
    <w:rsid w:val="003C2210"/>
    <w:rsid w:val="003C3C09"/>
    <w:rsid w:val="003C3EC1"/>
    <w:rsid w:val="003C7989"/>
    <w:rsid w:val="003D2250"/>
    <w:rsid w:val="003D2267"/>
    <w:rsid w:val="003D2EDA"/>
    <w:rsid w:val="003D7FFD"/>
    <w:rsid w:val="003E7463"/>
    <w:rsid w:val="003F474C"/>
    <w:rsid w:val="00407CC5"/>
    <w:rsid w:val="00411360"/>
    <w:rsid w:val="004127DE"/>
    <w:rsid w:val="004140C7"/>
    <w:rsid w:val="00417A02"/>
    <w:rsid w:val="00452ED9"/>
    <w:rsid w:val="0045526C"/>
    <w:rsid w:val="0046143A"/>
    <w:rsid w:val="00463D5D"/>
    <w:rsid w:val="00471C4B"/>
    <w:rsid w:val="004726CA"/>
    <w:rsid w:val="00473524"/>
    <w:rsid w:val="00477D94"/>
    <w:rsid w:val="00486024"/>
    <w:rsid w:val="004877D5"/>
    <w:rsid w:val="004C0E3E"/>
    <w:rsid w:val="004C3174"/>
    <w:rsid w:val="004D0A59"/>
    <w:rsid w:val="004D158F"/>
    <w:rsid w:val="004D1F44"/>
    <w:rsid w:val="004D6A16"/>
    <w:rsid w:val="004D6ABE"/>
    <w:rsid w:val="004E037E"/>
    <w:rsid w:val="004E2A62"/>
    <w:rsid w:val="004E2F5F"/>
    <w:rsid w:val="004F206B"/>
    <w:rsid w:val="004F7520"/>
    <w:rsid w:val="004F771C"/>
    <w:rsid w:val="00503DCE"/>
    <w:rsid w:val="00506035"/>
    <w:rsid w:val="0051053F"/>
    <w:rsid w:val="00511FE9"/>
    <w:rsid w:val="00513199"/>
    <w:rsid w:val="00520652"/>
    <w:rsid w:val="00521B07"/>
    <w:rsid w:val="005251F7"/>
    <w:rsid w:val="0053741A"/>
    <w:rsid w:val="00537653"/>
    <w:rsid w:val="005400A4"/>
    <w:rsid w:val="00541328"/>
    <w:rsid w:val="00543EDE"/>
    <w:rsid w:val="00544607"/>
    <w:rsid w:val="00551B4C"/>
    <w:rsid w:val="005531D8"/>
    <w:rsid w:val="00563435"/>
    <w:rsid w:val="00567989"/>
    <w:rsid w:val="00570D58"/>
    <w:rsid w:val="00571E46"/>
    <w:rsid w:val="00572FD4"/>
    <w:rsid w:val="00573A50"/>
    <w:rsid w:val="00573F14"/>
    <w:rsid w:val="00581CFE"/>
    <w:rsid w:val="00581E37"/>
    <w:rsid w:val="00585F49"/>
    <w:rsid w:val="005865C1"/>
    <w:rsid w:val="00591F8C"/>
    <w:rsid w:val="00592C9A"/>
    <w:rsid w:val="005A6030"/>
    <w:rsid w:val="005B331D"/>
    <w:rsid w:val="005B3941"/>
    <w:rsid w:val="005B3E98"/>
    <w:rsid w:val="005B7ECA"/>
    <w:rsid w:val="005C179D"/>
    <w:rsid w:val="005C5CAD"/>
    <w:rsid w:val="005E0E6A"/>
    <w:rsid w:val="005E165C"/>
    <w:rsid w:val="005F3B2F"/>
    <w:rsid w:val="005F5152"/>
    <w:rsid w:val="005F5D5F"/>
    <w:rsid w:val="00600E30"/>
    <w:rsid w:val="00601371"/>
    <w:rsid w:val="00602175"/>
    <w:rsid w:val="006070FC"/>
    <w:rsid w:val="006111BE"/>
    <w:rsid w:val="0061270F"/>
    <w:rsid w:val="006147B6"/>
    <w:rsid w:val="00624EE8"/>
    <w:rsid w:val="00626395"/>
    <w:rsid w:val="00627CBB"/>
    <w:rsid w:val="00645031"/>
    <w:rsid w:val="006507D7"/>
    <w:rsid w:val="006518D7"/>
    <w:rsid w:val="0065455E"/>
    <w:rsid w:val="0065463E"/>
    <w:rsid w:val="006550D8"/>
    <w:rsid w:val="00657486"/>
    <w:rsid w:val="006611BD"/>
    <w:rsid w:val="006716E8"/>
    <w:rsid w:val="00681740"/>
    <w:rsid w:val="006962B6"/>
    <w:rsid w:val="00697288"/>
    <w:rsid w:val="006A037A"/>
    <w:rsid w:val="006A114A"/>
    <w:rsid w:val="006A4F9A"/>
    <w:rsid w:val="006A77A6"/>
    <w:rsid w:val="006C233E"/>
    <w:rsid w:val="006C7975"/>
    <w:rsid w:val="006D2EAA"/>
    <w:rsid w:val="006E1867"/>
    <w:rsid w:val="006E3E0F"/>
    <w:rsid w:val="006F1B02"/>
    <w:rsid w:val="007075E5"/>
    <w:rsid w:val="0070794B"/>
    <w:rsid w:val="00707ECA"/>
    <w:rsid w:val="00711AE5"/>
    <w:rsid w:val="00712DB2"/>
    <w:rsid w:val="00713C49"/>
    <w:rsid w:val="007165A0"/>
    <w:rsid w:val="0071691E"/>
    <w:rsid w:val="00722002"/>
    <w:rsid w:val="00723925"/>
    <w:rsid w:val="00724789"/>
    <w:rsid w:val="00726E1E"/>
    <w:rsid w:val="00730852"/>
    <w:rsid w:val="00733CA6"/>
    <w:rsid w:val="0074378C"/>
    <w:rsid w:val="00743FFC"/>
    <w:rsid w:val="00755AFB"/>
    <w:rsid w:val="00763BFE"/>
    <w:rsid w:val="00765679"/>
    <w:rsid w:val="00765C02"/>
    <w:rsid w:val="0077169F"/>
    <w:rsid w:val="00772E63"/>
    <w:rsid w:val="007761C9"/>
    <w:rsid w:val="00782112"/>
    <w:rsid w:val="00787726"/>
    <w:rsid w:val="00787BFD"/>
    <w:rsid w:val="00790B57"/>
    <w:rsid w:val="007930A3"/>
    <w:rsid w:val="007970F1"/>
    <w:rsid w:val="007A24B8"/>
    <w:rsid w:val="007C2186"/>
    <w:rsid w:val="007C348B"/>
    <w:rsid w:val="007C4435"/>
    <w:rsid w:val="007E06EF"/>
    <w:rsid w:val="007E3E09"/>
    <w:rsid w:val="007E6A1C"/>
    <w:rsid w:val="007F1C49"/>
    <w:rsid w:val="007F5696"/>
    <w:rsid w:val="0080021D"/>
    <w:rsid w:val="00803AE6"/>
    <w:rsid w:val="00806250"/>
    <w:rsid w:val="00807CD5"/>
    <w:rsid w:val="0081733D"/>
    <w:rsid w:val="0082627B"/>
    <w:rsid w:val="00832880"/>
    <w:rsid w:val="00836986"/>
    <w:rsid w:val="00847586"/>
    <w:rsid w:val="00847F96"/>
    <w:rsid w:val="008562A9"/>
    <w:rsid w:val="00867BB1"/>
    <w:rsid w:val="008734AF"/>
    <w:rsid w:val="008802FF"/>
    <w:rsid w:val="008868C9"/>
    <w:rsid w:val="00894D5D"/>
    <w:rsid w:val="0089572F"/>
    <w:rsid w:val="0089704E"/>
    <w:rsid w:val="008A615D"/>
    <w:rsid w:val="008B2EFA"/>
    <w:rsid w:val="008C47EA"/>
    <w:rsid w:val="008D30F7"/>
    <w:rsid w:val="008D3EC7"/>
    <w:rsid w:val="008D591C"/>
    <w:rsid w:val="008D7E08"/>
    <w:rsid w:val="008E41B9"/>
    <w:rsid w:val="008F610E"/>
    <w:rsid w:val="00905893"/>
    <w:rsid w:val="00906587"/>
    <w:rsid w:val="00913652"/>
    <w:rsid w:val="00915F0E"/>
    <w:rsid w:val="009215E2"/>
    <w:rsid w:val="00923767"/>
    <w:rsid w:val="009365F7"/>
    <w:rsid w:val="00942422"/>
    <w:rsid w:val="00942724"/>
    <w:rsid w:val="009444AE"/>
    <w:rsid w:val="00946B62"/>
    <w:rsid w:val="009473B1"/>
    <w:rsid w:val="009502AA"/>
    <w:rsid w:val="009547AF"/>
    <w:rsid w:val="00955108"/>
    <w:rsid w:val="00955136"/>
    <w:rsid w:val="0096290E"/>
    <w:rsid w:val="00963A5F"/>
    <w:rsid w:val="00964B7C"/>
    <w:rsid w:val="00964BC5"/>
    <w:rsid w:val="00971B59"/>
    <w:rsid w:val="009722AB"/>
    <w:rsid w:val="009763BF"/>
    <w:rsid w:val="00981410"/>
    <w:rsid w:val="00984229"/>
    <w:rsid w:val="009901D9"/>
    <w:rsid w:val="009912F8"/>
    <w:rsid w:val="00991AE0"/>
    <w:rsid w:val="00992554"/>
    <w:rsid w:val="009A24B0"/>
    <w:rsid w:val="009A6352"/>
    <w:rsid w:val="009B290E"/>
    <w:rsid w:val="009B5A0E"/>
    <w:rsid w:val="009C035E"/>
    <w:rsid w:val="009C0E23"/>
    <w:rsid w:val="009C2C3B"/>
    <w:rsid w:val="009D30DA"/>
    <w:rsid w:val="009D5C04"/>
    <w:rsid w:val="009E368F"/>
    <w:rsid w:val="009F4580"/>
    <w:rsid w:val="009F483F"/>
    <w:rsid w:val="009F701F"/>
    <w:rsid w:val="00A02E6F"/>
    <w:rsid w:val="00A0444C"/>
    <w:rsid w:val="00A0640B"/>
    <w:rsid w:val="00A07AE8"/>
    <w:rsid w:val="00A07D1C"/>
    <w:rsid w:val="00A16CD5"/>
    <w:rsid w:val="00A207D4"/>
    <w:rsid w:val="00A27331"/>
    <w:rsid w:val="00A27DD1"/>
    <w:rsid w:val="00A306A7"/>
    <w:rsid w:val="00A324FF"/>
    <w:rsid w:val="00A32947"/>
    <w:rsid w:val="00A34374"/>
    <w:rsid w:val="00A36B59"/>
    <w:rsid w:val="00A4152D"/>
    <w:rsid w:val="00A508E7"/>
    <w:rsid w:val="00A552D0"/>
    <w:rsid w:val="00A678D5"/>
    <w:rsid w:val="00A67B78"/>
    <w:rsid w:val="00A70976"/>
    <w:rsid w:val="00A70E2C"/>
    <w:rsid w:val="00A8785B"/>
    <w:rsid w:val="00A90F25"/>
    <w:rsid w:val="00A92925"/>
    <w:rsid w:val="00A93162"/>
    <w:rsid w:val="00A953C4"/>
    <w:rsid w:val="00AB0563"/>
    <w:rsid w:val="00AB35EF"/>
    <w:rsid w:val="00AD18C8"/>
    <w:rsid w:val="00AD52E3"/>
    <w:rsid w:val="00AE11A9"/>
    <w:rsid w:val="00AF6B05"/>
    <w:rsid w:val="00AF6EF7"/>
    <w:rsid w:val="00B04D7E"/>
    <w:rsid w:val="00B11380"/>
    <w:rsid w:val="00B117C4"/>
    <w:rsid w:val="00B118D8"/>
    <w:rsid w:val="00B11F4C"/>
    <w:rsid w:val="00B12863"/>
    <w:rsid w:val="00B26905"/>
    <w:rsid w:val="00B30D68"/>
    <w:rsid w:val="00B31D0C"/>
    <w:rsid w:val="00B365B0"/>
    <w:rsid w:val="00B377BF"/>
    <w:rsid w:val="00B37A62"/>
    <w:rsid w:val="00B43E45"/>
    <w:rsid w:val="00B45604"/>
    <w:rsid w:val="00B46263"/>
    <w:rsid w:val="00B46E3D"/>
    <w:rsid w:val="00B521C8"/>
    <w:rsid w:val="00B55D11"/>
    <w:rsid w:val="00B60E48"/>
    <w:rsid w:val="00B61D55"/>
    <w:rsid w:val="00B64C0A"/>
    <w:rsid w:val="00B667BF"/>
    <w:rsid w:val="00B66E57"/>
    <w:rsid w:val="00B70C90"/>
    <w:rsid w:val="00B72E9C"/>
    <w:rsid w:val="00B85FA9"/>
    <w:rsid w:val="00B93806"/>
    <w:rsid w:val="00B94FB2"/>
    <w:rsid w:val="00BA1717"/>
    <w:rsid w:val="00BA1ABE"/>
    <w:rsid w:val="00BA1BCA"/>
    <w:rsid w:val="00BA1D54"/>
    <w:rsid w:val="00BA382C"/>
    <w:rsid w:val="00BA4B66"/>
    <w:rsid w:val="00BB02BA"/>
    <w:rsid w:val="00BB1C55"/>
    <w:rsid w:val="00BB7D88"/>
    <w:rsid w:val="00BC224E"/>
    <w:rsid w:val="00BD349D"/>
    <w:rsid w:val="00BD3A27"/>
    <w:rsid w:val="00BD3D98"/>
    <w:rsid w:val="00BE088F"/>
    <w:rsid w:val="00BF1A92"/>
    <w:rsid w:val="00C011EF"/>
    <w:rsid w:val="00C05272"/>
    <w:rsid w:val="00C11958"/>
    <w:rsid w:val="00C12AAD"/>
    <w:rsid w:val="00C16105"/>
    <w:rsid w:val="00C26F4F"/>
    <w:rsid w:val="00C30CBE"/>
    <w:rsid w:val="00C30EDD"/>
    <w:rsid w:val="00C30F4D"/>
    <w:rsid w:val="00C3522C"/>
    <w:rsid w:val="00C35E4A"/>
    <w:rsid w:val="00C3688F"/>
    <w:rsid w:val="00C41E7C"/>
    <w:rsid w:val="00C435D4"/>
    <w:rsid w:val="00C45CB9"/>
    <w:rsid w:val="00C46245"/>
    <w:rsid w:val="00C463AA"/>
    <w:rsid w:val="00C5514D"/>
    <w:rsid w:val="00C566A8"/>
    <w:rsid w:val="00C651E3"/>
    <w:rsid w:val="00C72B0A"/>
    <w:rsid w:val="00C75B13"/>
    <w:rsid w:val="00C7672E"/>
    <w:rsid w:val="00C84D17"/>
    <w:rsid w:val="00C9134C"/>
    <w:rsid w:val="00CA1A69"/>
    <w:rsid w:val="00CA56C1"/>
    <w:rsid w:val="00CA59E1"/>
    <w:rsid w:val="00CB3B1D"/>
    <w:rsid w:val="00CB56F7"/>
    <w:rsid w:val="00CC3DDE"/>
    <w:rsid w:val="00CC599D"/>
    <w:rsid w:val="00CD41AD"/>
    <w:rsid w:val="00CD5200"/>
    <w:rsid w:val="00CD7051"/>
    <w:rsid w:val="00CD7EF1"/>
    <w:rsid w:val="00CF1E2E"/>
    <w:rsid w:val="00CF52EE"/>
    <w:rsid w:val="00D021B6"/>
    <w:rsid w:val="00D02241"/>
    <w:rsid w:val="00D0491C"/>
    <w:rsid w:val="00D11935"/>
    <w:rsid w:val="00D17D34"/>
    <w:rsid w:val="00D2782F"/>
    <w:rsid w:val="00D27F07"/>
    <w:rsid w:val="00D343C7"/>
    <w:rsid w:val="00D46CCC"/>
    <w:rsid w:val="00D4732F"/>
    <w:rsid w:val="00D63836"/>
    <w:rsid w:val="00D70CDF"/>
    <w:rsid w:val="00D72D17"/>
    <w:rsid w:val="00D7366F"/>
    <w:rsid w:val="00D7372E"/>
    <w:rsid w:val="00D7516B"/>
    <w:rsid w:val="00D76A78"/>
    <w:rsid w:val="00D772F3"/>
    <w:rsid w:val="00D85C49"/>
    <w:rsid w:val="00D9172A"/>
    <w:rsid w:val="00D95A97"/>
    <w:rsid w:val="00D96E2C"/>
    <w:rsid w:val="00DA0269"/>
    <w:rsid w:val="00DA0DFE"/>
    <w:rsid w:val="00DB04BC"/>
    <w:rsid w:val="00DB1386"/>
    <w:rsid w:val="00DE0DD4"/>
    <w:rsid w:val="00DE1B1E"/>
    <w:rsid w:val="00DF7CD9"/>
    <w:rsid w:val="00E04661"/>
    <w:rsid w:val="00E103E1"/>
    <w:rsid w:val="00E12FEC"/>
    <w:rsid w:val="00E132B1"/>
    <w:rsid w:val="00E133F1"/>
    <w:rsid w:val="00E17FE8"/>
    <w:rsid w:val="00E20A4F"/>
    <w:rsid w:val="00E213B2"/>
    <w:rsid w:val="00E218F2"/>
    <w:rsid w:val="00E23ED0"/>
    <w:rsid w:val="00E2511C"/>
    <w:rsid w:val="00E278CF"/>
    <w:rsid w:val="00E30130"/>
    <w:rsid w:val="00E378F6"/>
    <w:rsid w:val="00E4184B"/>
    <w:rsid w:val="00E42BFA"/>
    <w:rsid w:val="00E44628"/>
    <w:rsid w:val="00E47FFE"/>
    <w:rsid w:val="00E5596B"/>
    <w:rsid w:val="00E624EB"/>
    <w:rsid w:val="00E6295C"/>
    <w:rsid w:val="00E7035E"/>
    <w:rsid w:val="00E72F51"/>
    <w:rsid w:val="00E74B62"/>
    <w:rsid w:val="00E768F7"/>
    <w:rsid w:val="00E76B10"/>
    <w:rsid w:val="00E83AB5"/>
    <w:rsid w:val="00E9684E"/>
    <w:rsid w:val="00EA146B"/>
    <w:rsid w:val="00EA1830"/>
    <w:rsid w:val="00EA7BC3"/>
    <w:rsid w:val="00EB6ACC"/>
    <w:rsid w:val="00EC00EE"/>
    <w:rsid w:val="00EC1DBB"/>
    <w:rsid w:val="00EC32B0"/>
    <w:rsid w:val="00EC4E11"/>
    <w:rsid w:val="00EC688D"/>
    <w:rsid w:val="00ED58C3"/>
    <w:rsid w:val="00ED6745"/>
    <w:rsid w:val="00EE7AD4"/>
    <w:rsid w:val="00EF236B"/>
    <w:rsid w:val="00EF429F"/>
    <w:rsid w:val="00EF7315"/>
    <w:rsid w:val="00F13050"/>
    <w:rsid w:val="00F15936"/>
    <w:rsid w:val="00F16D5D"/>
    <w:rsid w:val="00F22768"/>
    <w:rsid w:val="00F30823"/>
    <w:rsid w:val="00F42E9C"/>
    <w:rsid w:val="00F43420"/>
    <w:rsid w:val="00F44BCE"/>
    <w:rsid w:val="00F45609"/>
    <w:rsid w:val="00F4577A"/>
    <w:rsid w:val="00F5612D"/>
    <w:rsid w:val="00F65983"/>
    <w:rsid w:val="00F6600B"/>
    <w:rsid w:val="00F703C6"/>
    <w:rsid w:val="00F7623A"/>
    <w:rsid w:val="00F77CD8"/>
    <w:rsid w:val="00F80639"/>
    <w:rsid w:val="00F842DF"/>
    <w:rsid w:val="00F9117B"/>
    <w:rsid w:val="00F92009"/>
    <w:rsid w:val="00F94093"/>
    <w:rsid w:val="00F97100"/>
    <w:rsid w:val="00FB24DA"/>
    <w:rsid w:val="00FC1B7F"/>
    <w:rsid w:val="00FC23AA"/>
    <w:rsid w:val="00FD4070"/>
    <w:rsid w:val="00FD57AE"/>
    <w:rsid w:val="00FE0F9C"/>
    <w:rsid w:val="00FE41F2"/>
    <w:rsid w:val="00FE43C3"/>
    <w:rsid w:val="00FF132B"/>
    <w:rsid w:val="00FF17CF"/>
    <w:rsid w:val="00F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1E640"/>
  <w15:docId w15:val="{F8C993F8-7C24-4456-B1AF-C5A18529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32F"/>
    <w:rPr>
      <w:rFonts w:ascii="Times New Roman" w:eastAsia="Times New Roman" w:hAnsi="Times New Roman" w:cs="Times New Roman"/>
      <w:lang w:val="en-CA"/>
    </w:rPr>
  </w:style>
  <w:style w:type="paragraph" w:styleId="1">
    <w:name w:val="heading 1"/>
    <w:basedOn w:val="a"/>
    <w:next w:val="a"/>
    <w:link w:val="10"/>
    <w:uiPriority w:val="1"/>
    <w:unhideWhenUsed/>
    <w:qFormat/>
    <w:rsid w:val="00C41E7C"/>
    <w:pPr>
      <w:keepNext/>
      <w:numPr>
        <w:numId w:val="7"/>
      </w:numPr>
      <w:pBdr>
        <w:top w:val="dotted" w:sz="8" w:space="1" w:color="auto"/>
        <w:bottom w:val="dotted" w:sz="8" w:space="1" w:color="auto"/>
      </w:pBdr>
      <w:tabs>
        <w:tab w:val="left" w:pos="567"/>
        <w:tab w:val="left" w:pos="851"/>
        <w:tab w:val="right" w:pos="9356"/>
      </w:tabs>
      <w:spacing w:before="360" w:after="240"/>
      <w:jc w:val="both"/>
      <w:outlineLvl w:val="0"/>
    </w:pPr>
    <w:rPr>
      <w:rFonts w:ascii="Arial Narrow" w:hAnsi="Arial Narrow" w:cs="Arial"/>
      <w:b/>
      <w:bCs/>
      <w:kern w:val="32"/>
      <w:sz w:val="32"/>
      <w:szCs w:val="32"/>
      <w:lang w:val="en-US" w:eastAsia="de-DE"/>
    </w:rPr>
  </w:style>
  <w:style w:type="paragraph" w:styleId="2">
    <w:name w:val="heading 2"/>
    <w:basedOn w:val="1"/>
    <w:next w:val="a"/>
    <w:link w:val="20"/>
    <w:unhideWhenUsed/>
    <w:qFormat/>
    <w:rsid w:val="00C41E7C"/>
    <w:pPr>
      <w:numPr>
        <w:ilvl w:val="1"/>
      </w:numPr>
      <w:pBdr>
        <w:top w:val="none" w:sz="0" w:space="0" w:color="auto"/>
        <w:bottom w:val="none" w:sz="0" w:space="0" w:color="auto"/>
      </w:pBdr>
      <w:tabs>
        <w:tab w:val="clear" w:pos="720"/>
        <w:tab w:val="num" w:pos="5823"/>
      </w:tabs>
      <w:ind w:left="5823"/>
      <w:outlineLvl w:val="1"/>
    </w:pPr>
    <w:rPr>
      <w:bCs w:val="0"/>
      <w:iCs/>
      <w:sz w:val="28"/>
      <w:szCs w:val="28"/>
    </w:rPr>
  </w:style>
  <w:style w:type="paragraph" w:styleId="3">
    <w:name w:val="heading 3"/>
    <w:basedOn w:val="2"/>
    <w:next w:val="a"/>
    <w:link w:val="30"/>
    <w:autoRedefine/>
    <w:unhideWhenUsed/>
    <w:qFormat/>
    <w:rsid w:val="000C4623"/>
    <w:pPr>
      <w:numPr>
        <w:ilvl w:val="2"/>
      </w:numPr>
      <w:spacing w:before="240" w:after="80"/>
      <w:outlineLvl w:val="2"/>
    </w:pPr>
    <w:rPr>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0296"/>
    <w:pPr>
      <w:spacing w:before="100" w:beforeAutospacing="1" w:after="100" w:afterAutospacing="1"/>
    </w:pPr>
    <w:rPr>
      <w:lang w:val="en-US"/>
    </w:rPr>
  </w:style>
  <w:style w:type="character" w:customStyle="1" w:styleId="apple-tab-span">
    <w:name w:val="apple-tab-span"/>
    <w:basedOn w:val="a0"/>
    <w:rsid w:val="00110296"/>
  </w:style>
  <w:style w:type="paragraph" w:styleId="a4">
    <w:name w:val="List Paragraph"/>
    <w:aliases w:val="Bullets"/>
    <w:basedOn w:val="a"/>
    <w:link w:val="a5"/>
    <w:uiPriority w:val="34"/>
    <w:qFormat/>
    <w:rsid w:val="00D7516B"/>
    <w:pPr>
      <w:ind w:left="720"/>
      <w:contextualSpacing/>
    </w:pPr>
    <w:rPr>
      <w:rFonts w:asciiTheme="minorHAnsi" w:eastAsiaTheme="minorHAnsi" w:hAnsiTheme="minorHAnsi" w:cstheme="minorBidi"/>
      <w:lang w:val="en-US"/>
    </w:rPr>
  </w:style>
  <w:style w:type="paragraph" w:styleId="a6">
    <w:name w:val="header"/>
    <w:basedOn w:val="a"/>
    <w:link w:val="a7"/>
    <w:uiPriority w:val="99"/>
    <w:unhideWhenUsed/>
    <w:rsid w:val="00D9172A"/>
    <w:pPr>
      <w:tabs>
        <w:tab w:val="center" w:pos="4680"/>
        <w:tab w:val="right" w:pos="9360"/>
      </w:tabs>
    </w:pPr>
    <w:rPr>
      <w:rFonts w:asciiTheme="minorHAnsi" w:eastAsiaTheme="minorHAnsi" w:hAnsiTheme="minorHAnsi" w:cstheme="minorBidi"/>
      <w:lang w:val="en-US"/>
    </w:rPr>
  </w:style>
  <w:style w:type="character" w:customStyle="1" w:styleId="a7">
    <w:name w:val="Верхний колонтитул Знак"/>
    <w:basedOn w:val="a0"/>
    <w:link w:val="a6"/>
    <w:uiPriority w:val="99"/>
    <w:rsid w:val="00D9172A"/>
  </w:style>
  <w:style w:type="paragraph" w:styleId="a8">
    <w:name w:val="footer"/>
    <w:basedOn w:val="a"/>
    <w:link w:val="a9"/>
    <w:uiPriority w:val="99"/>
    <w:unhideWhenUsed/>
    <w:rsid w:val="00D9172A"/>
    <w:pPr>
      <w:tabs>
        <w:tab w:val="center" w:pos="4680"/>
        <w:tab w:val="right" w:pos="9360"/>
      </w:tabs>
    </w:pPr>
    <w:rPr>
      <w:rFonts w:asciiTheme="minorHAnsi" w:eastAsiaTheme="minorHAnsi" w:hAnsiTheme="minorHAnsi" w:cstheme="minorBidi"/>
      <w:lang w:val="en-US"/>
    </w:rPr>
  </w:style>
  <w:style w:type="character" w:customStyle="1" w:styleId="a9">
    <w:name w:val="Нижний колонтитул Знак"/>
    <w:basedOn w:val="a0"/>
    <w:link w:val="a8"/>
    <w:uiPriority w:val="99"/>
    <w:rsid w:val="00D9172A"/>
  </w:style>
  <w:style w:type="paragraph" w:customStyle="1" w:styleId="Default">
    <w:name w:val="Default"/>
    <w:rsid w:val="00D9172A"/>
    <w:pPr>
      <w:widowControl w:val="0"/>
      <w:autoSpaceDE w:val="0"/>
      <w:autoSpaceDN w:val="0"/>
      <w:adjustRightInd w:val="0"/>
    </w:pPr>
    <w:rPr>
      <w:rFonts w:ascii="Calibri" w:eastAsia="Times New Roman" w:hAnsi="Calibri" w:cs="Calibri"/>
      <w:color w:val="000000"/>
      <w:lang w:val="en-GB" w:eastAsia="en-GB"/>
    </w:rPr>
  </w:style>
  <w:style w:type="paragraph" w:styleId="aa">
    <w:name w:val="Balloon Text"/>
    <w:basedOn w:val="a"/>
    <w:link w:val="ab"/>
    <w:uiPriority w:val="99"/>
    <w:semiHidden/>
    <w:unhideWhenUsed/>
    <w:rsid w:val="002F691A"/>
    <w:rPr>
      <w:rFonts w:eastAsiaTheme="minorHAnsi"/>
      <w:sz w:val="18"/>
      <w:szCs w:val="18"/>
      <w:lang w:val="en-US"/>
    </w:rPr>
  </w:style>
  <w:style w:type="character" w:customStyle="1" w:styleId="ab">
    <w:name w:val="Текст выноски Знак"/>
    <w:basedOn w:val="a0"/>
    <w:link w:val="aa"/>
    <w:uiPriority w:val="99"/>
    <w:semiHidden/>
    <w:rsid w:val="002F691A"/>
    <w:rPr>
      <w:rFonts w:ascii="Times New Roman" w:hAnsi="Times New Roman" w:cs="Times New Roman"/>
      <w:sz w:val="18"/>
      <w:szCs w:val="18"/>
    </w:rPr>
  </w:style>
  <w:style w:type="character" w:styleId="ac">
    <w:name w:val="page number"/>
    <w:basedOn w:val="a0"/>
    <w:uiPriority w:val="99"/>
    <w:semiHidden/>
    <w:unhideWhenUsed/>
    <w:rsid w:val="00B11F4C"/>
  </w:style>
  <w:style w:type="paragraph" w:styleId="ad">
    <w:name w:val="footnote text"/>
    <w:basedOn w:val="a"/>
    <w:link w:val="ae"/>
    <w:uiPriority w:val="99"/>
    <w:unhideWhenUsed/>
    <w:rsid w:val="006C7975"/>
    <w:rPr>
      <w:rFonts w:ascii="Arial" w:eastAsiaTheme="minorEastAsia" w:hAnsi="Arial"/>
      <w:sz w:val="20"/>
      <w:szCs w:val="20"/>
      <w:lang w:val="en-GB"/>
    </w:rPr>
  </w:style>
  <w:style w:type="character" w:customStyle="1" w:styleId="ae">
    <w:name w:val="Текст сноски Знак"/>
    <w:basedOn w:val="a0"/>
    <w:link w:val="ad"/>
    <w:uiPriority w:val="99"/>
    <w:rsid w:val="006C7975"/>
    <w:rPr>
      <w:rFonts w:ascii="Arial" w:eastAsiaTheme="minorEastAsia" w:hAnsi="Arial" w:cs="Times New Roman"/>
      <w:sz w:val="20"/>
      <w:szCs w:val="20"/>
      <w:lang w:val="en-GB"/>
    </w:rPr>
  </w:style>
  <w:style w:type="character" w:styleId="af">
    <w:name w:val="footnote reference"/>
    <w:basedOn w:val="a0"/>
    <w:uiPriority w:val="99"/>
    <w:unhideWhenUsed/>
    <w:rsid w:val="006C7975"/>
    <w:rPr>
      <w:rFonts w:cs="Times New Roman"/>
      <w:vertAlign w:val="superscript"/>
    </w:rPr>
  </w:style>
  <w:style w:type="character" w:styleId="af0">
    <w:name w:val="Hyperlink"/>
    <w:basedOn w:val="a0"/>
    <w:uiPriority w:val="99"/>
    <w:unhideWhenUsed/>
    <w:rsid w:val="00292863"/>
    <w:rPr>
      <w:color w:val="0000FF"/>
      <w:u w:val="single"/>
    </w:rPr>
  </w:style>
  <w:style w:type="character" w:customStyle="1" w:styleId="UnresolvedMention1">
    <w:name w:val="Unresolved Mention1"/>
    <w:basedOn w:val="a0"/>
    <w:uiPriority w:val="99"/>
    <w:rsid w:val="00C12AAD"/>
    <w:rPr>
      <w:color w:val="605E5C"/>
      <w:shd w:val="clear" w:color="auto" w:fill="E1DFDD"/>
    </w:rPr>
  </w:style>
  <w:style w:type="character" w:customStyle="1" w:styleId="a5">
    <w:name w:val="Абзац списка Знак"/>
    <w:aliases w:val="Bullets Знак"/>
    <w:basedOn w:val="a0"/>
    <w:link w:val="a4"/>
    <w:uiPriority w:val="34"/>
    <w:locked/>
    <w:rsid w:val="0065463E"/>
  </w:style>
  <w:style w:type="paragraph" w:styleId="af1">
    <w:name w:val="caption"/>
    <w:basedOn w:val="a"/>
    <w:next w:val="a"/>
    <w:uiPriority w:val="35"/>
    <w:unhideWhenUsed/>
    <w:qFormat/>
    <w:rsid w:val="00F97100"/>
    <w:pPr>
      <w:spacing w:after="200"/>
    </w:pPr>
    <w:rPr>
      <w:i/>
      <w:iCs/>
      <w:color w:val="44546A" w:themeColor="text2"/>
      <w:sz w:val="18"/>
      <w:szCs w:val="18"/>
    </w:rPr>
  </w:style>
  <w:style w:type="character" w:styleId="af2">
    <w:name w:val="annotation reference"/>
    <w:basedOn w:val="a0"/>
    <w:uiPriority w:val="99"/>
    <w:semiHidden/>
    <w:unhideWhenUsed/>
    <w:rsid w:val="00311ED8"/>
    <w:rPr>
      <w:sz w:val="16"/>
      <w:szCs w:val="16"/>
    </w:rPr>
  </w:style>
  <w:style w:type="paragraph" w:styleId="af3">
    <w:name w:val="annotation text"/>
    <w:basedOn w:val="a"/>
    <w:link w:val="af4"/>
    <w:uiPriority w:val="99"/>
    <w:unhideWhenUsed/>
    <w:rsid w:val="00311ED8"/>
    <w:rPr>
      <w:sz w:val="20"/>
      <w:szCs w:val="20"/>
    </w:rPr>
  </w:style>
  <w:style w:type="character" w:customStyle="1" w:styleId="af4">
    <w:name w:val="Текст примечания Знак"/>
    <w:basedOn w:val="a0"/>
    <w:link w:val="af3"/>
    <w:uiPriority w:val="99"/>
    <w:rsid w:val="00311ED8"/>
    <w:rPr>
      <w:rFonts w:ascii="Times New Roman" w:eastAsia="Times New Roman" w:hAnsi="Times New Roman" w:cs="Times New Roman"/>
      <w:sz w:val="20"/>
      <w:szCs w:val="20"/>
      <w:lang w:val="en-CA"/>
    </w:rPr>
  </w:style>
  <w:style w:type="paragraph" w:styleId="af5">
    <w:name w:val="annotation subject"/>
    <w:basedOn w:val="af3"/>
    <w:next w:val="af3"/>
    <w:link w:val="af6"/>
    <w:uiPriority w:val="99"/>
    <w:semiHidden/>
    <w:unhideWhenUsed/>
    <w:rsid w:val="00311ED8"/>
    <w:rPr>
      <w:b/>
      <w:bCs/>
    </w:rPr>
  </w:style>
  <w:style w:type="character" w:customStyle="1" w:styleId="af6">
    <w:name w:val="Тема примечания Знак"/>
    <w:basedOn w:val="af4"/>
    <w:link w:val="af5"/>
    <w:uiPriority w:val="99"/>
    <w:semiHidden/>
    <w:rsid w:val="00311ED8"/>
    <w:rPr>
      <w:rFonts w:ascii="Times New Roman" w:eastAsia="Times New Roman" w:hAnsi="Times New Roman" w:cs="Times New Roman"/>
      <w:b/>
      <w:bCs/>
      <w:sz w:val="20"/>
      <w:szCs w:val="20"/>
      <w:lang w:val="en-CA"/>
    </w:rPr>
  </w:style>
  <w:style w:type="table" w:styleId="af7">
    <w:name w:val="Table Grid"/>
    <w:basedOn w:val="a1"/>
    <w:uiPriority w:val="59"/>
    <w:rsid w:val="00050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C41E7C"/>
    <w:rPr>
      <w:rFonts w:ascii="Times New Roman" w:eastAsia="Times New Roman" w:hAnsi="Times New Roman" w:cs="Times New Roman"/>
      <w:lang w:val="en-CA"/>
    </w:rPr>
  </w:style>
  <w:style w:type="character" w:customStyle="1" w:styleId="10">
    <w:name w:val="Заголовок 1 Знак"/>
    <w:basedOn w:val="a0"/>
    <w:link w:val="1"/>
    <w:uiPriority w:val="1"/>
    <w:rsid w:val="00C41E7C"/>
    <w:rPr>
      <w:rFonts w:ascii="Arial Narrow" w:eastAsia="Times New Roman" w:hAnsi="Arial Narrow" w:cs="Arial"/>
      <w:b/>
      <w:bCs/>
      <w:kern w:val="32"/>
      <w:sz w:val="32"/>
      <w:szCs w:val="32"/>
      <w:lang w:eastAsia="de-DE"/>
    </w:rPr>
  </w:style>
  <w:style w:type="character" w:customStyle="1" w:styleId="20">
    <w:name w:val="Заголовок 2 Знак"/>
    <w:basedOn w:val="a0"/>
    <w:link w:val="2"/>
    <w:rsid w:val="00C41E7C"/>
    <w:rPr>
      <w:rFonts w:ascii="Arial Narrow" w:eastAsia="Times New Roman" w:hAnsi="Arial Narrow" w:cs="Arial"/>
      <w:b/>
      <w:iCs/>
      <w:kern w:val="32"/>
      <w:sz w:val="28"/>
      <w:szCs w:val="28"/>
      <w:lang w:eastAsia="de-DE"/>
    </w:rPr>
  </w:style>
  <w:style w:type="character" w:customStyle="1" w:styleId="30">
    <w:name w:val="Заголовок 3 Знак"/>
    <w:basedOn w:val="a0"/>
    <w:link w:val="3"/>
    <w:rsid w:val="000C4623"/>
    <w:rPr>
      <w:rFonts w:ascii="Arial Narrow" w:eastAsia="Times New Roman" w:hAnsi="Arial Narrow" w:cs="Arial"/>
      <w:b/>
      <w:bCs/>
      <w:iCs/>
      <w:kern w:val="32"/>
      <w:sz w:val="26"/>
      <w:szCs w:val="26"/>
      <w:lang w:eastAsia="de-DE"/>
    </w:rPr>
  </w:style>
  <w:style w:type="character" w:customStyle="1" w:styleId="UnresolvedMention2">
    <w:name w:val="Unresolved Mention2"/>
    <w:basedOn w:val="a0"/>
    <w:uiPriority w:val="99"/>
    <w:semiHidden/>
    <w:unhideWhenUsed/>
    <w:rsid w:val="001521D0"/>
    <w:rPr>
      <w:color w:val="605E5C"/>
      <w:shd w:val="clear" w:color="auto" w:fill="E1DFDD"/>
    </w:rPr>
  </w:style>
  <w:style w:type="paragraph" w:styleId="af9">
    <w:name w:val="Body Text"/>
    <w:basedOn w:val="a"/>
    <w:link w:val="afa"/>
    <w:uiPriority w:val="1"/>
    <w:unhideWhenUsed/>
    <w:qFormat/>
    <w:rsid w:val="00C30EDD"/>
    <w:pPr>
      <w:spacing w:after="120" w:line="276" w:lineRule="auto"/>
    </w:pPr>
    <w:rPr>
      <w:rFonts w:ascii="Calibri" w:eastAsia="SimSun" w:hAnsi="Calibri"/>
      <w:sz w:val="22"/>
      <w:szCs w:val="22"/>
      <w:lang w:val="ru-RU"/>
    </w:rPr>
  </w:style>
  <w:style w:type="character" w:customStyle="1" w:styleId="afa">
    <w:name w:val="Основной текст Знак"/>
    <w:basedOn w:val="a0"/>
    <w:link w:val="af9"/>
    <w:uiPriority w:val="1"/>
    <w:rsid w:val="00C30EDD"/>
    <w:rPr>
      <w:rFonts w:ascii="Calibri" w:eastAsia="SimSun" w:hAnsi="Calibri" w:cs="Times New Roman"/>
      <w:sz w:val="22"/>
      <w:szCs w:val="22"/>
      <w:lang w:val="ru-RU"/>
    </w:rPr>
  </w:style>
  <w:style w:type="paragraph" w:styleId="11">
    <w:name w:val="toc 1"/>
    <w:basedOn w:val="a"/>
    <w:next w:val="a"/>
    <w:autoRedefine/>
    <w:uiPriority w:val="39"/>
    <w:unhideWhenUsed/>
    <w:rsid w:val="00B37A62"/>
    <w:pPr>
      <w:tabs>
        <w:tab w:val="left" w:pos="284"/>
        <w:tab w:val="right" w:leader="dot" w:pos="9016"/>
      </w:tabs>
      <w:spacing w:before="120" w:after="120"/>
    </w:pPr>
    <w:rPr>
      <w:rFonts w:asciiTheme="minorHAnsi" w:hAnsiTheme="minorHAnsi" w:cstheme="minorHAnsi"/>
      <w:b/>
      <w:bCs/>
      <w:caps/>
      <w:sz w:val="20"/>
      <w:szCs w:val="20"/>
    </w:rPr>
  </w:style>
  <w:style w:type="paragraph" w:styleId="21">
    <w:name w:val="toc 2"/>
    <w:basedOn w:val="a"/>
    <w:next w:val="a"/>
    <w:autoRedefine/>
    <w:uiPriority w:val="39"/>
    <w:unhideWhenUsed/>
    <w:rsid w:val="00F45609"/>
    <w:pPr>
      <w:ind w:left="240"/>
    </w:pPr>
    <w:rPr>
      <w:rFonts w:asciiTheme="minorHAnsi" w:hAnsiTheme="minorHAnsi" w:cstheme="minorHAnsi"/>
      <w:smallCaps/>
      <w:sz w:val="20"/>
      <w:szCs w:val="20"/>
    </w:rPr>
  </w:style>
  <w:style w:type="paragraph" w:styleId="31">
    <w:name w:val="toc 3"/>
    <w:basedOn w:val="a"/>
    <w:next w:val="a"/>
    <w:autoRedefine/>
    <w:uiPriority w:val="39"/>
    <w:unhideWhenUsed/>
    <w:rsid w:val="00F45609"/>
    <w:pPr>
      <w:ind w:left="480"/>
    </w:pPr>
    <w:rPr>
      <w:rFonts w:asciiTheme="minorHAnsi" w:hAnsiTheme="minorHAnsi" w:cstheme="minorHAnsi"/>
      <w:i/>
      <w:iCs/>
      <w:sz w:val="20"/>
      <w:szCs w:val="20"/>
    </w:rPr>
  </w:style>
  <w:style w:type="paragraph" w:styleId="4">
    <w:name w:val="toc 4"/>
    <w:basedOn w:val="a"/>
    <w:next w:val="a"/>
    <w:autoRedefine/>
    <w:uiPriority w:val="39"/>
    <w:unhideWhenUsed/>
    <w:rsid w:val="00F45609"/>
    <w:pPr>
      <w:ind w:left="720"/>
    </w:pPr>
    <w:rPr>
      <w:rFonts w:asciiTheme="minorHAnsi" w:hAnsiTheme="minorHAnsi" w:cstheme="minorHAnsi"/>
      <w:sz w:val="18"/>
      <w:szCs w:val="18"/>
    </w:rPr>
  </w:style>
  <w:style w:type="paragraph" w:styleId="5">
    <w:name w:val="toc 5"/>
    <w:basedOn w:val="a"/>
    <w:next w:val="a"/>
    <w:autoRedefine/>
    <w:uiPriority w:val="39"/>
    <w:unhideWhenUsed/>
    <w:rsid w:val="00F45609"/>
    <w:pPr>
      <w:ind w:left="960"/>
    </w:pPr>
    <w:rPr>
      <w:rFonts w:asciiTheme="minorHAnsi" w:hAnsiTheme="minorHAnsi" w:cstheme="minorHAnsi"/>
      <w:sz w:val="18"/>
      <w:szCs w:val="18"/>
    </w:rPr>
  </w:style>
  <w:style w:type="paragraph" w:styleId="6">
    <w:name w:val="toc 6"/>
    <w:basedOn w:val="a"/>
    <w:next w:val="a"/>
    <w:autoRedefine/>
    <w:uiPriority w:val="39"/>
    <w:unhideWhenUsed/>
    <w:rsid w:val="00F45609"/>
    <w:pPr>
      <w:ind w:left="1200"/>
    </w:pPr>
    <w:rPr>
      <w:rFonts w:asciiTheme="minorHAnsi" w:hAnsiTheme="minorHAnsi" w:cstheme="minorHAnsi"/>
      <w:sz w:val="18"/>
      <w:szCs w:val="18"/>
    </w:rPr>
  </w:style>
  <w:style w:type="paragraph" w:styleId="7">
    <w:name w:val="toc 7"/>
    <w:basedOn w:val="a"/>
    <w:next w:val="a"/>
    <w:autoRedefine/>
    <w:uiPriority w:val="39"/>
    <w:unhideWhenUsed/>
    <w:rsid w:val="00F45609"/>
    <w:pPr>
      <w:ind w:left="1440"/>
    </w:pPr>
    <w:rPr>
      <w:rFonts w:asciiTheme="minorHAnsi" w:hAnsiTheme="minorHAnsi" w:cstheme="minorHAnsi"/>
      <w:sz w:val="18"/>
      <w:szCs w:val="18"/>
    </w:rPr>
  </w:style>
  <w:style w:type="paragraph" w:styleId="8">
    <w:name w:val="toc 8"/>
    <w:basedOn w:val="a"/>
    <w:next w:val="a"/>
    <w:autoRedefine/>
    <w:uiPriority w:val="39"/>
    <w:unhideWhenUsed/>
    <w:rsid w:val="00F45609"/>
    <w:pPr>
      <w:ind w:left="1680"/>
    </w:pPr>
    <w:rPr>
      <w:rFonts w:asciiTheme="minorHAnsi" w:hAnsiTheme="minorHAnsi" w:cstheme="minorHAnsi"/>
      <w:sz w:val="18"/>
      <w:szCs w:val="18"/>
    </w:rPr>
  </w:style>
  <w:style w:type="paragraph" w:styleId="9">
    <w:name w:val="toc 9"/>
    <w:basedOn w:val="a"/>
    <w:next w:val="a"/>
    <w:autoRedefine/>
    <w:uiPriority w:val="39"/>
    <w:unhideWhenUsed/>
    <w:rsid w:val="00F45609"/>
    <w:pPr>
      <w:ind w:left="1920"/>
    </w:pPr>
    <w:rPr>
      <w:rFonts w:asciiTheme="minorHAnsi" w:hAnsiTheme="minorHAnsi" w:cstheme="minorHAnsi"/>
      <w:sz w:val="18"/>
      <w:szCs w:val="18"/>
    </w:rPr>
  </w:style>
  <w:style w:type="paragraph" w:customStyle="1" w:styleId="H1">
    <w:name w:val="H1"/>
    <w:basedOn w:val="1"/>
    <w:next w:val="1"/>
    <w:qFormat/>
    <w:rsid w:val="000C4623"/>
    <w:pPr>
      <w:pBdr>
        <w:top w:val="none" w:sz="0" w:space="0" w:color="auto"/>
        <w:bottom w:val="none" w:sz="0" w:space="0" w:color="auto"/>
      </w:pBdr>
      <w:tabs>
        <w:tab w:val="clear" w:pos="567"/>
        <w:tab w:val="clear" w:pos="851"/>
        <w:tab w:val="clear" w:pos="9356"/>
      </w:tabs>
    </w:pPr>
    <w:rPr>
      <w:rFonts w:ascii="Helvetica" w:hAnsi="Helvetica"/>
      <w:sz w:val="28"/>
    </w:rPr>
  </w:style>
  <w:style w:type="character" w:customStyle="1" w:styleId="UnresolvedMention3">
    <w:name w:val="Unresolved Mention3"/>
    <w:basedOn w:val="a0"/>
    <w:uiPriority w:val="99"/>
    <w:semiHidden/>
    <w:unhideWhenUsed/>
    <w:rsid w:val="00AF6B05"/>
    <w:rPr>
      <w:color w:val="605E5C"/>
      <w:shd w:val="clear" w:color="auto" w:fill="E1DFDD"/>
    </w:rPr>
  </w:style>
  <w:style w:type="paragraph" w:customStyle="1" w:styleId="BulletPoints">
    <w:name w:val="Bullet Points"/>
    <w:basedOn w:val="a4"/>
    <w:rsid w:val="005B7ECA"/>
    <w:pPr>
      <w:numPr>
        <w:numId w:val="23"/>
      </w:numPr>
      <w:tabs>
        <w:tab w:val="num" w:pos="360"/>
        <w:tab w:val="left" w:pos="567"/>
      </w:tabs>
      <w:spacing w:before="60" w:after="200" w:line="276" w:lineRule="auto"/>
      <w:ind w:left="720" w:firstLine="0"/>
      <w:contextualSpacing w:val="0"/>
      <w:jc w:val="both"/>
    </w:pPr>
    <w:rPr>
      <w:rFonts w:ascii="Arial" w:eastAsia="Times New Roman" w:hAnsi="Arial" w:cs="Times New Roman"/>
      <w:sz w:val="22"/>
      <w:lang w:eastAsia="de-DE"/>
    </w:rPr>
  </w:style>
  <w:style w:type="table" w:customStyle="1" w:styleId="TableGrid1">
    <w:name w:val="Table Grid1"/>
    <w:basedOn w:val="a1"/>
    <w:next w:val="af7"/>
    <w:uiPriority w:val="59"/>
    <w:rsid w:val="003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304">
      <w:bodyDiv w:val="1"/>
      <w:marLeft w:val="0"/>
      <w:marRight w:val="0"/>
      <w:marTop w:val="0"/>
      <w:marBottom w:val="0"/>
      <w:divBdr>
        <w:top w:val="none" w:sz="0" w:space="0" w:color="auto"/>
        <w:left w:val="none" w:sz="0" w:space="0" w:color="auto"/>
        <w:bottom w:val="none" w:sz="0" w:space="0" w:color="auto"/>
        <w:right w:val="none" w:sz="0" w:space="0" w:color="auto"/>
      </w:divBdr>
    </w:div>
    <w:div w:id="80682349">
      <w:bodyDiv w:val="1"/>
      <w:marLeft w:val="0"/>
      <w:marRight w:val="0"/>
      <w:marTop w:val="0"/>
      <w:marBottom w:val="0"/>
      <w:divBdr>
        <w:top w:val="none" w:sz="0" w:space="0" w:color="auto"/>
        <w:left w:val="none" w:sz="0" w:space="0" w:color="auto"/>
        <w:bottom w:val="none" w:sz="0" w:space="0" w:color="auto"/>
        <w:right w:val="none" w:sz="0" w:space="0" w:color="auto"/>
      </w:divBdr>
    </w:div>
    <w:div w:id="245310740">
      <w:bodyDiv w:val="1"/>
      <w:marLeft w:val="0"/>
      <w:marRight w:val="0"/>
      <w:marTop w:val="0"/>
      <w:marBottom w:val="0"/>
      <w:divBdr>
        <w:top w:val="none" w:sz="0" w:space="0" w:color="auto"/>
        <w:left w:val="none" w:sz="0" w:space="0" w:color="auto"/>
        <w:bottom w:val="none" w:sz="0" w:space="0" w:color="auto"/>
        <w:right w:val="none" w:sz="0" w:space="0" w:color="auto"/>
      </w:divBdr>
    </w:div>
    <w:div w:id="250898267">
      <w:bodyDiv w:val="1"/>
      <w:marLeft w:val="0"/>
      <w:marRight w:val="0"/>
      <w:marTop w:val="0"/>
      <w:marBottom w:val="0"/>
      <w:divBdr>
        <w:top w:val="none" w:sz="0" w:space="0" w:color="auto"/>
        <w:left w:val="none" w:sz="0" w:space="0" w:color="auto"/>
        <w:bottom w:val="none" w:sz="0" w:space="0" w:color="auto"/>
        <w:right w:val="none" w:sz="0" w:space="0" w:color="auto"/>
      </w:divBdr>
    </w:div>
    <w:div w:id="405764198">
      <w:bodyDiv w:val="1"/>
      <w:marLeft w:val="0"/>
      <w:marRight w:val="0"/>
      <w:marTop w:val="0"/>
      <w:marBottom w:val="0"/>
      <w:divBdr>
        <w:top w:val="none" w:sz="0" w:space="0" w:color="auto"/>
        <w:left w:val="none" w:sz="0" w:space="0" w:color="auto"/>
        <w:bottom w:val="none" w:sz="0" w:space="0" w:color="auto"/>
        <w:right w:val="none" w:sz="0" w:space="0" w:color="auto"/>
      </w:divBdr>
    </w:div>
    <w:div w:id="423697294">
      <w:bodyDiv w:val="1"/>
      <w:marLeft w:val="0"/>
      <w:marRight w:val="0"/>
      <w:marTop w:val="0"/>
      <w:marBottom w:val="0"/>
      <w:divBdr>
        <w:top w:val="none" w:sz="0" w:space="0" w:color="auto"/>
        <w:left w:val="none" w:sz="0" w:space="0" w:color="auto"/>
        <w:bottom w:val="none" w:sz="0" w:space="0" w:color="auto"/>
        <w:right w:val="none" w:sz="0" w:space="0" w:color="auto"/>
      </w:divBdr>
    </w:div>
    <w:div w:id="457072581">
      <w:bodyDiv w:val="1"/>
      <w:marLeft w:val="0"/>
      <w:marRight w:val="0"/>
      <w:marTop w:val="0"/>
      <w:marBottom w:val="0"/>
      <w:divBdr>
        <w:top w:val="none" w:sz="0" w:space="0" w:color="auto"/>
        <w:left w:val="none" w:sz="0" w:space="0" w:color="auto"/>
        <w:bottom w:val="none" w:sz="0" w:space="0" w:color="auto"/>
        <w:right w:val="none" w:sz="0" w:space="0" w:color="auto"/>
      </w:divBdr>
    </w:div>
    <w:div w:id="568273943">
      <w:bodyDiv w:val="1"/>
      <w:marLeft w:val="0"/>
      <w:marRight w:val="0"/>
      <w:marTop w:val="0"/>
      <w:marBottom w:val="0"/>
      <w:divBdr>
        <w:top w:val="none" w:sz="0" w:space="0" w:color="auto"/>
        <w:left w:val="none" w:sz="0" w:space="0" w:color="auto"/>
        <w:bottom w:val="none" w:sz="0" w:space="0" w:color="auto"/>
        <w:right w:val="none" w:sz="0" w:space="0" w:color="auto"/>
      </w:divBdr>
    </w:div>
    <w:div w:id="585110581">
      <w:bodyDiv w:val="1"/>
      <w:marLeft w:val="0"/>
      <w:marRight w:val="0"/>
      <w:marTop w:val="0"/>
      <w:marBottom w:val="0"/>
      <w:divBdr>
        <w:top w:val="none" w:sz="0" w:space="0" w:color="auto"/>
        <w:left w:val="none" w:sz="0" w:space="0" w:color="auto"/>
        <w:bottom w:val="none" w:sz="0" w:space="0" w:color="auto"/>
        <w:right w:val="none" w:sz="0" w:space="0" w:color="auto"/>
      </w:divBdr>
    </w:div>
    <w:div w:id="675234452">
      <w:bodyDiv w:val="1"/>
      <w:marLeft w:val="0"/>
      <w:marRight w:val="0"/>
      <w:marTop w:val="0"/>
      <w:marBottom w:val="0"/>
      <w:divBdr>
        <w:top w:val="none" w:sz="0" w:space="0" w:color="auto"/>
        <w:left w:val="none" w:sz="0" w:space="0" w:color="auto"/>
        <w:bottom w:val="none" w:sz="0" w:space="0" w:color="auto"/>
        <w:right w:val="none" w:sz="0" w:space="0" w:color="auto"/>
      </w:divBdr>
    </w:div>
    <w:div w:id="678317592">
      <w:bodyDiv w:val="1"/>
      <w:marLeft w:val="0"/>
      <w:marRight w:val="0"/>
      <w:marTop w:val="0"/>
      <w:marBottom w:val="0"/>
      <w:divBdr>
        <w:top w:val="none" w:sz="0" w:space="0" w:color="auto"/>
        <w:left w:val="none" w:sz="0" w:space="0" w:color="auto"/>
        <w:bottom w:val="none" w:sz="0" w:space="0" w:color="auto"/>
        <w:right w:val="none" w:sz="0" w:space="0" w:color="auto"/>
      </w:divBdr>
    </w:div>
    <w:div w:id="750198129">
      <w:bodyDiv w:val="1"/>
      <w:marLeft w:val="0"/>
      <w:marRight w:val="0"/>
      <w:marTop w:val="0"/>
      <w:marBottom w:val="0"/>
      <w:divBdr>
        <w:top w:val="none" w:sz="0" w:space="0" w:color="auto"/>
        <w:left w:val="none" w:sz="0" w:space="0" w:color="auto"/>
        <w:bottom w:val="none" w:sz="0" w:space="0" w:color="auto"/>
        <w:right w:val="none" w:sz="0" w:space="0" w:color="auto"/>
      </w:divBdr>
    </w:div>
    <w:div w:id="770123793">
      <w:bodyDiv w:val="1"/>
      <w:marLeft w:val="0"/>
      <w:marRight w:val="0"/>
      <w:marTop w:val="0"/>
      <w:marBottom w:val="0"/>
      <w:divBdr>
        <w:top w:val="none" w:sz="0" w:space="0" w:color="auto"/>
        <w:left w:val="none" w:sz="0" w:space="0" w:color="auto"/>
        <w:bottom w:val="none" w:sz="0" w:space="0" w:color="auto"/>
        <w:right w:val="none" w:sz="0" w:space="0" w:color="auto"/>
      </w:divBdr>
    </w:div>
    <w:div w:id="882445086">
      <w:bodyDiv w:val="1"/>
      <w:marLeft w:val="0"/>
      <w:marRight w:val="0"/>
      <w:marTop w:val="0"/>
      <w:marBottom w:val="0"/>
      <w:divBdr>
        <w:top w:val="none" w:sz="0" w:space="0" w:color="auto"/>
        <w:left w:val="none" w:sz="0" w:space="0" w:color="auto"/>
        <w:bottom w:val="none" w:sz="0" w:space="0" w:color="auto"/>
        <w:right w:val="none" w:sz="0" w:space="0" w:color="auto"/>
      </w:divBdr>
    </w:div>
    <w:div w:id="950866980">
      <w:bodyDiv w:val="1"/>
      <w:marLeft w:val="0"/>
      <w:marRight w:val="0"/>
      <w:marTop w:val="0"/>
      <w:marBottom w:val="0"/>
      <w:divBdr>
        <w:top w:val="none" w:sz="0" w:space="0" w:color="auto"/>
        <w:left w:val="none" w:sz="0" w:space="0" w:color="auto"/>
        <w:bottom w:val="none" w:sz="0" w:space="0" w:color="auto"/>
        <w:right w:val="none" w:sz="0" w:space="0" w:color="auto"/>
      </w:divBdr>
    </w:div>
    <w:div w:id="1042485873">
      <w:bodyDiv w:val="1"/>
      <w:marLeft w:val="0"/>
      <w:marRight w:val="0"/>
      <w:marTop w:val="0"/>
      <w:marBottom w:val="0"/>
      <w:divBdr>
        <w:top w:val="none" w:sz="0" w:space="0" w:color="auto"/>
        <w:left w:val="none" w:sz="0" w:space="0" w:color="auto"/>
        <w:bottom w:val="none" w:sz="0" w:space="0" w:color="auto"/>
        <w:right w:val="none" w:sz="0" w:space="0" w:color="auto"/>
      </w:divBdr>
    </w:div>
    <w:div w:id="1257132424">
      <w:bodyDiv w:val="1"/>
      <w:marLeft w:val="0"/>
      <w:marRight w:val="0"/>
      <w:marTop w:val="0"/>
      <w:marBottom w:val="0"/>
      <w:divBdr>
        <w:top w:val="none" w:sz="0" w:space="0" w:color="auto"/>
        <w:left w:val="none" w:sz="0" w:space="0" w:color="auto"/>
        <w:bottom w:val="none" w:sz="0" w:space="0" w:color="auto"/>
        <w:right w:val="none" w:sz="0" w:space="0" w:color="auto"/>
      </w:divBdr>
    </w:div>
    <w:div w:id="1327783762">
      <w:bodyDiv w:val="1"/>
      <w:marLeft w:val="0"/>
      <w:marRight w:val="0"/>
      <w:marTop w:val="0"/>
      <w:marBottom w:val="0"/>
      <w:divBdr>
        <w:top w:val="none" w:sz="0" w:space="0" w:color="auto"/>
        <w:left w:val="none" w:sz="0" w:space="0" w:color="auto"/>
        <w:bottom w:val="none" w:sz="0" w:space="0" w:color="auto"/>
        <w:right w:val="none" w:sz="0" w:space="0" w:color="auto"/>
      </w:divBdr>
    </w:div>
    <w:div w:id="1403210571">
      <w:bodyDiv w:val="1"/>
      <w:marLeft w:val="0"/>
      <w:marRight w:val="0"/>
      <w:marTop w:val="0"/>
      <w:marBottom w:val="0"/>
      <w:divBdr>
        <w:top w:val="none" w:sz="0" w:space="0" w:color="auto"/>
        <w:left w:val="none" w:sz="0" w:space="0" w:color="auto"/>
        <w:bottom w:val="none" w:sz="0" w:space="0" w:color="auto"/>
        <w:right w:val="none" w:sz="0" w:space="0" w:color="auto"/>
      </w:divBdr>
    </w:div>
    <w:div w:id="1424182960">
      <w:bodyDiv w:val="1"/>
      <w:marLeft w:val="0"/>
      <w:marRight w:val="0"/>
      <w:marTop w:val="0"/>
      <w:marBottom w:val="0"/>
      <w:divBdr>
        <w:top w:val="none" w:sz="0" w:space="0" w:color="auto"/>
        <w:left w:val="none" w:sz="0" w:space="0" w:color="auto"/>
        <w:bottom w:val="none" w:sz="0" w:space="0" w:color="auto"/>
        <w:right w:val="none" w:sz="0" w:space="0" w:color="auto"/>
      </w:divBdr>
    </w:div>
    <w:div w:id="1510366085">
      <w:bodyDiv w:val="1"/>
      <w:marLeft w:val="0"/>
      <w:marRight w:val="0"/>
      <w:marTop w:val="0"/>
      <w:marBottom w:val="0"/>
      <w:divBdr>
        <w:top w:val="none" w:sz="0" w:space="0" w:color="auto"/>
        <w:left w:val="none" w:sz="0" w:space="0" w:color="auto"/>
        <w:bottom w:val="none" w:sz="0" w:space="0" w:color="auto"/>
        <w:right w:val="none" w:sz="0" w:space="0" w:color="auto"/>
      </w:divBdr>
    </w:div>
    <w:div w:id="1626546106">
      <w:bodyDiv w:val="1"/>
      <w:marLeft w:val="0"/>
      <w:marRight w:val="0"/>
      <w:marTop w:val="0"/>
      <w:marBottom w:val="0"/>
      <w:divBdr>
        <w:top w:val="none" w:sz="0" w:space="0" w:color="auto"/>
        <w:left w:val="none" w:sz="0" w:space="0" w:color="auto"/>
        <w:bottom w:val="none" w:sz="0" w:space="0" w:color="auto"/>
        <w:right w:val="none" w:sz="0" w:space="0" w:color="auto"/>
      </w:divBdr>
    </w:div>
    <w:div w:id="1649551425">
      <w:bodyDiv w:val="1"/>
      <w:marLeft w:val="0"/>
      <w:marRight w:val="0"/>
      <w:marTop w:val="0"/>
      <w:marBottom w:val="0"/>
      <w:divBdr>
        <w:top w:val="none" w:sz="0" w:space="0" w:color="auto"/>
        <w:left w:val="none" w:sz="0" w:space="0" w:color="auto"/>
        <w:bottom w:val="none" w:sz="0" w:space="0" w:color="auto"/>
        <w:right w:val="none" w:sz="0" w:space="0" w:color="auto"/>
      </w:divBdr>
      <w:divsChild>
        <w:div w:id="2032876944">
          <w:marLeft w:val="446"/>
          <w:marRight w:val="0"/>
          <w:marTop w:val="0"/>
          <w:marBottom w:val="0"/>
          <w:divBdr>
            <w:top w:val="none" w:sz="0" w:space="0" w:color="auto"/>
            <w:left w:val="none" w:sz="0" w:space="0" w:color="auto"/>
            <w:bottom w:val="none" w:sz="0" w:space="0" w:color="auto"/>
            <w:right w:val="none" w:sz="0" w:space="0" w:color="auto"/>
          </w:divBdr>
        </w:div>
      </w:divsChild>
    </w:div>
    <w:div w:id="1692031531">
      <w:bodyDiv w:val="1"/>
      <w:marLeft w:val="0"/>
      <w:marRight w:val="0"/>
      <w:marTop w:val="0"/>
      <w:marBottom w:val="0"/>
      <w:divBdr>
        <w:top w:val="none" w:sz="0" w:space="0" w:color="auto"/>
        <w:left w:val="none" w:sz="0" w:space="0" w:color="auto"/>
        <w:bottom w:val="none" w:sz="0" w:space="0" w:color="auto"/>
        <w:right w:val="none" w:sz="0" w:space="0" w:color="auto"/>
      </w:divBdr>
    </w:div>
    <w:div w:id="1723596970">
      <w:bodyDiv w:val="1"/>
      <w:marLeft w:val="0"/>
      <w:marRight w:val="0"/>
      <w:marTop w:val="0"/>
      <w:marBottom w:val="0"/>
      <w:divBdr>
        <w:top w:val="none" w:sz="0" w:space="0" w:color="auto"/>
        <w:left w:val="none" w:sz="0" w:space="0" w:color="auto"/>
        <w:bottom w:val="none" w:sz="0" w:space="0" w:color="auto"/>
        <w:right w:val="none" w:sz="0" w:space="0" w:color="auto"/>
      </w:divBdr>
    </w:div>
    <w:div w:id="1937665928">
      <w:bodyDiv w:val="1"/>
      <w:marLeft w:val="0"/>
      <w:marRight w:val="0"/>
      <w:marTop w:val="0"/>
      <w:marBottom w:val="0"/>
      <w:divBdr>
        <w:top w:val="none" w:sz="0" w:space="0" w:color="auto"/>
        <w:left w:val="none" w:sz="0" w:space="0" w:color="auto"/>
        <w:bottom w:val="none" w:sz="0" w:space="0" w:color="auto"/>
        <w:right w:val="none" w:sz="0" w:space="0" w:color="auto"/>
      </w:divBdr>
    </w:div>
    <w:div w:id="1963068821">
      <w:bodyDiv w:val="1"/>
      <w:marLeft w:val="0"/>
      <w:marRight w:val="0"/>
      <w:marTop w:val="0"/>
      <w:marBottom w:val="0"/>
      <w:divBdr>
        <w:top w:val="none" w:sz="0" w:space="0" w:color="auto"/>
        <w:left w:val="none" w:sz="0" w:space="0" w:color="auto"/>
        <w:bottom w:val="none" w:sz="0" w:space="0" w:color="auto"/>
        <w:right w:val="none" w:sz="0" w:space="0" w:color="auto"/>
      </w:divBdr>
    </w:div>
    <w:div w:id="21442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e.int/en/web/conventions/full-list/-/conventions/treaty/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482C3-DB5B-4C88-9DF4-684A0C53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5913</Words>
  <Characters>33710</Characters>
  <Application>Microsoft Office Word</Application>
  <DocSecurity>0</DocSecurity>
  <Lines>280</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Kumar Bekbolotov</dc:creator>
  <cp:lastModifiedBy>Nurgul Jamankulova</cp:lastModifiedBy>
  <cp:revision>4</cp:revision>
  <dcterms:created xsi:type="dcterms:W3CDTF">2022-05-25T08:11:00Z</dcterms:created>
  <dcterms:modified xsi:type="dcterms:W3CDTF">2022-05-25T08:32:00Z</dcterms:modified>
</cp:coreProperties>
</file>